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3E44" w14:textId="11A8DA2C" w:rsidR="00FC693F" w:rsidRDefault="00FC693F" w:rsidP="003E5F2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FORMULATE THE HRM STRATEGIES</w:t>
      </w:r>
    </w:p>
    <w:p w14:paraId="1299A527" w14:textId="77777777" w:rsidR="00FC693F" w:rsidRDefault="00FC693F" w:rsidP="003E5F2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  <w:r>
        <w:rPr>
          <w:rFonts w:ascii="Times New Roman" w:hAnsi="Times New Roman" w:cs="Times New Roman"/>
          <w:b/>
          <w:sz w:val="28"/>
          <w:szCs w:val="24"/>
          <w:lang w:val="id-ID"/>
        </w:rPr>
        <w:t xml:space="preserve">MAKALAH </w:t>
      </w:r>
    </w:p>
    <w:p w14:paraId="2B61729B" w14:textId="77777777" w:rsidR="00FC693F" w:rsidRDefault="00FC693F" w:rsidP="003E5F2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id-ID"/>
        </w:rPr>
        <w:t xml:space="preserve">MATA KULIAH </w:t>
      </w:r>
      <w:r>
        <w:rPr>
          <w:rFonts w:ascii="Times New Roman" w:hAnsi="Times New Roman" w:cs="Times New Roman"/>
          <w:b/>
          <w:sz w:val="28"/>
          <w:szCs w:val="24"/>
        </w:rPr>
        <w:t>MSDM STRATEJIK</w:t>
      </w:r>
    </w:p>
    <w:p w14:paraId="547668F1" w14:textId="77777777" w:rsidR="00FC693F" w:rsidRDefault="00FC693F" w:rsidP="003E5F2A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DA4CE13" w14:textId="7EE188C6" w:rsidR="00FC693F" w:rsidRDefault="00FC693F" w:rsidP="003E5F2A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CF9BC9" wp14:editId="5CA69CFD">
            <wp:extent cx="2514600" cy="2571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297A8" w14:textId="77777777" w:rsidR="00FC693F" w:rsidRDefault="00FC693F" w:rsidP="003E5F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00B8F6" w14:textId="18BA9936" w:rsidR="00FC693F" w:rsidRDefault="00FC693F" w:rsidP="003E5F2A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</w:rPr>
        <w:t>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Oleh:</w:t>
      </w:r>
    </w:p>
    <w:p w14:paraId="55C4804B" w14:textId="615B2E2A" w:rsidR="00FC693F" w:rsidRDefault="00FC693F" w:rsidP="003E5F2A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Yumna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Nurani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19808141016</w:t>
      </w:r>
    </w:p>
    <w:p w14:paraId="6E7AAFA9" w14:textId="19CFFC2E" w:rsidR="00FC693F" w:rsidRDefault="00FC693F" w:rsidP="003E5F2A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 Afni Ayu </w:t>
      </w:r>
      <w:proofErr w:type="spellStart"/>
      <w:r>
        <w:rPr>
          <w:rFonts w:ascii="Times New Roman" w:hAnsi="Times New Roman" w:cs="Times New Roman"/>
          <w:sz w:val="24"/>
          <w:szCs w:val="24"/>
        </w:rPr>
        <w:t>Murianti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19808141018</w:t>
      </w:r>
    </w:p>
    <w:p w14:paraId="73B1CE3E" w14:textId="69123BA7" w:rsidR="00FC693F" w:rsidRDefault="00FC693F" w:rsidP="003E5F2A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Alifah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Lutfi Zahra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19808141020</w:t>
      </w:r>
    </w:p>
    <w:p w14:paraId="07421770" w14:textId="0453E6F0" w:rsidR="00FC693F" w:rsidRDefault="00FC693F" w:rsidP="003E5F2A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Ivana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Helmalia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Guntari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19808141033</w:t>
      </w:r>
    </w:p>
    <w:p w14:paraId="0D89E15B" w14:textId="77777777" w:rsidR="00FC693F" w:rsidRDefault="00FC693F" w:rsidP="003E5F2A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D972657" w14:textId="77777777" w:rsidR="00FC693F" w:rsidRDefault="00FC693F" w:rsidP="003E5F2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Jurusan Manajemen</w:t>
      </w:r>
    </w:p>
    <w:p w14:paraId="2AA6BFFB" w14:textId="77777777" w:rsidR="00FC693F" w:rsidRDefault="00FC693F" w:rsidP="003E5F2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Fakultas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Ekonomi</w:t>
      </w:r>
      <w:proofErr w:type="spellEnd"/>
    </w:p>
    <w:p w14:paraId="5A1FDB12" w14:textId="77777777" w:rsidR="00FC693F" w:rsidRDefault="00FC693F" w:rsidP="003E5F2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Universitas Negeri Yogyakarta</w:t>
      </w:r>
    </w:p>
    <w:p w14:paraId="1746FE46" w14:textId="22AF0D06" w:rsidR="00FC693F" w:rsidRDefault="00FC693F" w:rsidP="003E5F2A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</w:t>
      </w:r>
    </w:p>
    <w:p w14:paraId="51466A0C" w14:textId="77777777" w:rsidR="000869BE" w:rsidRDefault="00FC693F" w:rsidP="003E5F2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proofErr w:type="spellStart"/>
      <w:r w:rsidR="000869BE">
        <w:rPr>
          <w:rFonts w:ascii="Times New Roman" w:hAnsi="Times New Roman" w:cs="Times New Roman"/>
          <w:b/>
          <w:bCs/>
          <w:sz w:val="24"/>
          <w:szCs w:val="24"/>
        </w:rPr>
        <w:lastRenderedPageBreak/>
        <w:t>Latar</w:t>
      </w:r>
      <w:proofErr w:type="spellEnd"/>
      <w:r w:rsidR="000869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869BE"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</w:p>
    <w:p w14:paraId="155F3F21" w14:textId="5EE34A1C" w:rsidR="000869BE" w:rsidRPr="000869BE" w:rsidRDefault="000869BE" w:rsidP="003E5F2A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69BE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semen di Indonesia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semen di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2011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7.18%, pada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6.1%, dan pada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5.5%. Hal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semen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bertumbuh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semen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perseroan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Perindustrian.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perseroan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industry semen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PT Semen Indonesia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perseroan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korporasi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ukurannya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semen yang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pasar.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penganalisaan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internal.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E290CA" w14:textId="48184A77" w:rsidR="000869BE" w:rsidRDefault="000869BE" w:rsidP="003E5F2A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PT Semen Indonesia (Persero)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Tbk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dahulu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PT Semen Gresik (Persero)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Tbk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produsen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semen yang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terbesar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di Indonesia. Pada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tanggal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20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Desember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2012, PT Semen Indonesia (Persero)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Tbk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resmi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berganti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nama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sebelumnya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bernama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PT Semen Gresik (Persero)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Tbk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Penggantian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nama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sekaligus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langkah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awal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upaya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merealisasikan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terbentuknya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Strategic Holding Group yang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ditargetkan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diyakini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menyinergikan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seluruh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operasional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kapasitas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terpasang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Semen Indonesia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29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juta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ton semen per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menguasai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sekitar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42%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pangsa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pasar semen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domestik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. Semen Indonesia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anak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PT Semen Gresik, PT Semen Padang, PT Semen </w:t>
      </w:r>
      <w:proofErr w:type="spellStart"/>
      <w:r w:rsidRPr="000869BE">
        <w:rPr>
          <w:rFonts w:ascii="Times New Roman" w:hAnsi="Times New Roman" w:cs="Times New Roman"/>
          <w:color w:val="000000"/>
          <w:sz w:val="24"/>
          <w:szCs w:val="24"/>
        </w:rPr>
        <w:t>Tonasa</w:t>
      </w:r>
      <w:proofErr w:type="spellEnd"/>
      <w:r w:rsidRPr="000869BE">
        <w:rPr>
          <w:rFonts w:ascii="Times New Roman" w:hAnsi="Times New Roman" w:cs="Times New Roman"/>
          <w:color w:val="000000"/>
          <w:sz w:val="24"/>
          <w:szCs w:val="24"/>
        </w:rPr>
        <w:t xml:space="preserve"> dan Thang Long Cement.</w:t>
      </w:r>
    </w:p>
    <w:p w14:paraId="3D4609EC" w14:textId="7F52D49C" w:rsidR="000869BE" w:rsidRPr="000869BE" w:rsidRDefault="000869BE" w:rsidP="003E5F2A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869B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semen, PT Semen Indonesia (Persero)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(SMGR)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mencetak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(SDM) yang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pelat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> </w:t>
      </w:r>
      <w:r w:rsidRPr="000869BE">
        <w:rPr>
          <w:rStyle w:val="Emphasis"/>
          <w:rFonts w:ascii="Times New Roman" w:hAnsi="Times New Roman" w:cs="Times New Roman"/>
          <w:sz w:val="24"/>
          <w:szCs w:val="24"/>
        </w:rPr>
        <w:t>Semen Indonesia Center of The Champs</w:t>
      </w:r>
      <w:r w:rsidRPr="000869BE">
        <w:rPr>
          <w:rFonts w:ascii="Times New Roman" w:hAnsi="Times New Roman" w:cs="Times New Roman"/>
          <w:sz w:val="24"/>
          <w:szCs w:val="24"/>
        </w:rPr>
        <w:t xml:space="preserve"> (SICC).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Direktur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Utama Semen Indonesia,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Dwi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Soetjipto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berharap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bahwa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SICC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kelak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berperan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membangun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kompetensi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baru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Semen Indonesia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sekaligus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mendatangkan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keuntungan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Menurut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Dwi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Soetjipto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SICC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menjadikan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karyawan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lebih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menyatu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berpadu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dan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bersinergi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mengembangkan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kemampuannya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Dampak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lebih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lanjut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memicu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pertumbuhan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produktivitas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efisiensi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semua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lini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bisnis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usaha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Dwi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Soetjipto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menjelaskan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bahwa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salah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kemampuan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telah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dimiliki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karyawan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Semen Indonesia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adalah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bidang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engineering.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Maka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itu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Semen Indonesia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membentuk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869BE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center of engineering</w:t>
      </w:r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CoE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Selain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itu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kemampuan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Engineering Semen Indonesia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mendapat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perhatian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serius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perusahaan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bergerak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bidang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mineral dan semen di Denmark,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FLSmitdth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A/S.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Kedua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belah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pihak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telah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melakukan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kerja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sama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869BE">
        <w:rPr>
          <w:rFonts w:ascii="Times New Roman" w:hAnsi="Times New Roman" w:cs="Times New Roman"/>
          <w:sz w:val="24"/>
          <w:szCs w:val="24"/>
        </w:rPr>
        <w:t xml:space="preserve">Peran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SICC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SDM yang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kompeten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best people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(excellent performance) dan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best people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diwujudkan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SICC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> </w:t>
      </w:r>
      <w:r w:rsidRPr="000869BE">
        <w:rPr>
          <w:rStyle w:val="Emphasis"/>
          <w:rFonts w:ascii="Times New Roman" w:hAnsi="Times New Roman" w:cs="Times New Roman"/>
          <w:sz w:val="24"/>
          <w:szCs w:val="24"/>
        </w:rPr>
        <w:t>Center of Dynamic Learning, Center of Knowledge Management,</w:t>
      </w:r>
      <w:r w:rsidRPr="000869BE">
        <w:rPr>
          <w:rFonts w:ascii="Times New Roman" w:hAnsi="Times New Roman" w:cs="Times New Roman"/>
          <w:sz w:val="24"/>
          <w:szCs w:val="24"/>
        </w:rPr>
        <w:t> dan </w:t>
      </w:r>
      <w:r w:rsidRPr="000869BE">
        <w:rPr>
          <w:rStyle w:val="Emphasis"/>
          <w:rFonts w:ascii="Times New Roman" w:hAnsi="Times New Roman" w:cs="Times New Roman"/>
          <w:sz w:val="24"/>
          <w:szCs w:val="24"/>
        </w:rPr>
        <w:t>School of Engineering &amp; Management.</w:t>
      </w:r>
      <w:r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diwujudkan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> </w:t>
      </w:r>
      <w:r w:rsidRPr="000869BE">
        <w:rPr>
          <w:rStyle w:val="Emphasis"/>
          <w:rFonts w:ascii="Times New Roman" w:hAnsi="Times New Roman" w:cs="Times New Roman"/>
          <w:sz w:val="24"/>
          <w:szCs w:val="24"/>
        </w:rPr>
        <w:t>Center of Technology Research, Center of Engineering</w:t>
      </w:r>
      <w:r w:rsidRPr="000869B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869B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869BE">
        <w:rPr>
          <w:rFonts w:ascii="Times New Roman" w:hAnsi="Times New Roman" w:cs="Times New Roman"/>
          <w:sz w:val="24"/>
          <w:szCs w:val="24"/>
        </w:rPr>
        <w:t> </w:t>
      </w:r>
      <w:r w:rsidRPr="000869BE">
        <w:rPr>
          <w:rStyle w:val="Emphasis"/>
          <w:rFonts w:ascii="Times New Roman" w:hAnsi="Times New Roman" w:cs="Times New Roman"/>
          <w:sz w:val="24"/>
          <w:szCs w:val="24"/>
        </w:rPr>
        <w:t>Training</w:t>
      </w:r>
      <w:r w:rsidRPr="000869BE">
        <w:rPr>
          <w:rFonts w:ascii="Times New Roman" w:hAnsi="Times New Roman" w:cs="Times New Roman"/>
          <w:sz w:val="24"/>
          <w:szCs w:val="24"/>
        </w:rPr>
        <w:t> </w:t>
      </w:r>
      <w:r w:rsidRPr="000869BE">
        <w:rPr>
          <w:rStyle w:val="Emphasis"/>
          <w:rFonts w:ascii="Times New Roman" w:hAnsi="Times New Roman" w:cs="Times New Roman"/>
          <w:sz w:val="24"/>
          <w:szCs w:val="24"/>
        </w:rPr>
        <w:t xml:space="preserve">and Consulting Services.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Kehadiran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SICC juga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diharapkan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mampu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mengembangkan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talenta-talenta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sehingga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mereka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nantinya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bisa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merasa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‘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terikat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’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perusahaan</w:t>
      </w:r>
      <w:proofErr w:type="spellEnd"/>
      <w:r w:rsidRPr="000869B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D16A7A8" w14:textId="55F95182" w:rsidR="000869BE" w:rsidRDefault="000869BE" w:rsidP="003E5F2A">
      <w:pPr>
        <w:pStyle w:val="ListParagraph"/>
        <w:spacing w:before="240" w:line="36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869B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</w:t>
      </w:r>
      <w:r w:rsidRPr="00086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trategi dan </w:t>
      </w:r>
      <w:proofErr w:type="spellStart"/>
      <w:r w:rsidRPr="000869BE">
        <w:rPr>
          <w:rFonts w:ascii="Times New Roman" w:eastAsia="Times New Roman" w:hAnsi="Times New Roman" w:cs="Times New Roman"/>
          <w:color w:val="000000"/>
          <w:sz w:val="24"/>
          <w:szCs w:val="24"/>
        </w:rPr>
        <w:t>rencana</w:t>
      </w:r>
      <w:proofErr w:type="spellEnd"/>
      <w:r w:rsidRPr="00086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eastAsia="Times New Roman" w:hAnsi="Times New Roman" w:cs="Times New Roman"/>
          <w:color w:val="000000"/>
          <w:sz w:val="24"/>
          <w:szCs w:val="24"/>
        </w:rPr>
        <w:t>pengelolaan</w:t>
      </w:r>
      <w:proofErr w:type="spellEnd"/>
      <w:r w:rsidRPr="00086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086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eastAsia="Times New Roman" w:hAnsi="Times New Roman" w:cs="Times New Roman"/>
          <w:color w:val="000000"/>
          <w:sz w:val="24"/>
          <w:szCs w:val="24"/>
        </w:rPr>
        <w:t>Daya</w:t>
      </w:r>
      <w:proofErr w:type="spellEnd"/>
      <w:r w:rsidRPr="00086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086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869BE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086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PT. SEMEN INDONESIA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diantaranya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086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Human Resources Development </w:t>
      </w:r>
      <w:r w:rsidRPr="000869BE">
        <w:rPr>
          <w:rFonts w:ascii="Times New Roman" w:eastAsia="Times New Roman" w:hAnsi="Times New Roman" w:cs="Times New Roman"/>
          <w:color w:val="000000"/>
          <w:sz w:val="24"/>
          <w:szCs w:val="24"/>
        </w:rPr>
        <w:t>(Human Capital Master Plan)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86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Training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869BE">
        <w:rPr>
          <w:rFonts w:ascii="Times New Roman" w:eastAsia="Times New Roman" w:hAnsi="Times New Roman" w:cs="Times New Roman"/>
          <w:color w:val="000000"/>
          <w:sz w:val="24"/>
          <w:szCs w:val="24"/>
        </w:rPr>
        <w:t>nd Development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869BE">
        <w:rPr>
          <w:rFonts w:ascii="Times New Roman" w:eastAsia="Times New Roman" w:hAnsi="Times New Roman" w:cs="Times New Roman"/>
          <w:color w:val="000000"/>
          <w:sz w:val="24"/>
          <w:szCs w:val="24"/>
        </w:rPr>
        <w:t>Knowledge Management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0869BE">
        <w:rPr>
          <w:rFonts w:ascii="Times New Roman" w:eastAsia="Times New Roman" w:hAnsi="Times New Roman" w:cs="Times New Roman"/>
          <w:color w:val="000000"/>
          <w:sz w:val="24"/>
          <w:szCs w:val="24"/>
        </w:rPr>
        <w:t>Manajemen</w:t>
      </w:r>
      <w:proofErr w:type="spellEnd"/>
      <w:r w:rsidRPr="00086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Kinerja </w:t>
      </w:r>
      <w:r w:rsidRPr="00086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&amp; </w:t>
      </w:r>
      <w:proofErr w:type="spellStart"/>
      <w:r w:rsidRPr="000869BE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086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9BE">
        <w:rPr>
          <w:rFonts w:ascii="Times New Roman" w:eastAsia="Times New Roman" w:hAnsi="Times New Roman" w:cs="Times New Roman"/>
          <w:color w:val="000000"/>
          <w:sz w:val="24"/>
          <w:szCs w:val="24"/>
        </w:rPr>
        <w:t>Remunerasi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F702EA7" w14:textId="1A4DAD91" w:rsidR="004479A5" w:rsidRPr="004479A5" w:rsidRDefault="004479A5" w:rsidP="003E5F2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79A5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  <w:r w:rsidRPr="004479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  <w:r w:rsidRPr="004479A5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4479A5">
        <w:rPr>
          <w:rFonts w:ascii="Times New Roman" w:hAnsi="Times New Roman" w:cs="Times New Roman"/>
          <w:b/>
          <w:sz w:val="24"/>
          <w:szCs w:val="24"/>
        </w:rPr>
        <w:t>ada</w:t>
      </w:r>
      <w:proofErr w:type="spellEnd"/>
      <w:r w:rsidRPr="004479A5">
        <w:rPr>
          <w:rFonts w:ascii="Times New Roman" w:hAnsi="Times New Roman" w:cs="Times New Roman"/>
          <w:b/>
          <w:sz w:val="24"/>
          <w:szCs w:val="24"/>
        </w:rPr>
        <w:t xml:space="preserve"> di PT Semen Indonesia </w:t>
      </w:r>
      <w:proofErr w:type="spellStart"/>
      <w:r w:rsidRPr="004479A5">
        <w:rPr>
          <w:rFonts w:ascii="Times New Roman" w:hAnsi="Times New Roman" w:cs="Times New Roman"/>
          <w:b/>
          <w:sz w:val="24"/>
          <w:szCs w:val="24"/>
        </w:rPr>
        <w:t>Tbk</w:t>
      </w:r>
      <w:proofErr w:type="spellEnd"/>
      <w:r w:rsidRPr="004479A5">
        <w:rPr>
          <w:rFonts w:ascii="Times New Roman" w:hAnsi="Times New Roman" w:cs="Times New Roman"/>
          <w:b/>
          <w:sz w:val="24"/>
          <w:szCs w:val="24"/>
        </w:rPr>
        <w:t>.</w:t>
      </w:r>
    </w:p>
    <w:p w14:paraId="0DBAC8DD" w14:textId="395D7A98" w:rsidR="004479A5" w:rsidRDefault="004479A5" w:rsidP="003E5F2A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3E0B">
        <w:rPr>
          <w:rFonts w:ascii="Times New Roman" w:hAnsi="Times New Roman" w:cs="Times New Roman"/>
          <w:sz w:val="24"/>
          <w:szCs w:val="24"/>
        </w:rPr>
        <w:t xml:space="preserve">PT Semen Indonesia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perseroan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strategi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korporasi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ukurannya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semen yang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pasar.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penganalisaan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internal. Analisa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Internal. Hasil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EFE Matrix dan IFE Matrix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SWOT dan </w:t>
      </w:r>
      <w:proofErr w:type="spellStart"/>
      <w:r w:rsidRPr="00533E0B"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 w:rsidRPr="00533E0B">
        <w:rPr>
          <w:rFonts w:ascii="Times New Roman" w:hAnsi="Times New Roman" w:cs="Times New Roman"/>
          <w:sz w:val="24"/>
          <w:szCs w:val="24"/>
        </w:rPr>
        <w:t xml:space="preserve"> IE.</w:t>
      </w:r>
      <w:r w:rsidRPr="00361CDE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PT Semen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Tbk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memfokuskan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361CDE">
        <w:rPr>
          <w:rFonts w:ascii="Times New Roman" w:hAnsi="Times New Roman" w:cs="Times New Roman"/>
          <w:sz w:val="24"/>
          <w:szCs w:val="24"/>
        </w:rPr>
        <w:t>ahap</w:t>
      </w:r>
      <w:proofErr w:type="spellEnd"/>
      <w:r w:rsidRPr="00361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>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361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361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61CDE">
        <w:rPr>
          <w:rFonts w:ascii="Times New Roman" w:hAnsi="Times New Roman" w:cs="Times New Roman"/>
          <w:sz w:val="24"/>
          <w:szCs w:val="24"/>
        </w:rPr>
        <w:t xml:space="preserve"> prose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yang</w:t>
      </w:r>
      <w:r w:rsidRPr="00361CD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61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61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361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361CD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361CDE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saa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61CD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361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361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61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61CDE">
        <w:rPr>
          <w:rFonts w:ascii="Times New Roman" w:hAnsi="Times New Roman" w:cs="Times New Roman"/>
          <w:sz w:val="24"/>
          <w:szCs w:val="24"/>
        </w:rPr>
        <w:t xml:space="preserve"> strateg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361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361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1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portofolio</w:t>
      </w:r>
      <w:proofErr w:type="spellEnd"/>
      <w:r w:rsidRPr="00361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manajem</w:t>
      </w:r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61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61CDE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61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1CDE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kuadran</w:t>
      </w:r>
      <w:proofErr w:type="spellEnd"/>
      <w:r w:rsidRPr="00361C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1CDE"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B87411" w14:textId="4BA714B5" w:rsidR="004479A5" w:rsidRPr="004479A5" w:rsidRDefault="004479A5" w:rsidP="003E5F2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9A5">
        <w:rPr>
          <w:rFonts w:ascii="Times New Roman" w:hAnsi="Times New Roman" w:cs="Times New Roman"/>
          <w:b/>
          <w:sz w:val="24"/>
          <w:szCs w:val="24"/>
        </w:rPr>
        <w:t xml:space="preserve">Batasan </w:t>
      </w:r>
      <w:proofErr w:type="spellStart"/>
      <w:r w:rsidRPr="004479A5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14:paraId="2C498958" w14:textId="1CB94798" w:rsidR="004479A5" w:rsidRDefault="004479A5" w:rsidP="003E5F2A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147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4001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00147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14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00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147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400147">
        <w:rPr>
          <w:rFonts w:ascii="Times New Roman" w:hAnsi="Times New Roman" w:cs="Times New Roman"/>
          <w:sz w:val="24"/>
          <w:szCs w:val="24"/>
        </w:rPr>
        <w:t xml:space="preserve"> lima model </w:t>
      </w:r>
      <w:proofErr w:type="spellStart"/>
      <w:r w:rsidRPr="00400147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400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147">
        <w:rPr>
          <w:rFonts w:ascii="Times New Roman" w:hAnsi="Times New Roman" w:cs="Times New Roman"/>
          <w:sz w:val="24"/>
          <w:szCs w:val="24"/>
        </w:rPr>
        <w:t>kompetisi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147">
        <w:rPr>
          <w:rFonts w:ascii="Times New Roman" w:hAnsi="Times New Roman" w:cs="Times New Roman"/>
          <w:sz w:val="24"/>
          <w:szCs w:val="24"/>
        </w:rPr>
        <w:t>(</w:t>
      </w:r>
      <w:r w:rsidRPr="00AF103A">
        <w:rPr>
          <w:rFonts w:ascii="Times New Roman" w:hAnsi="Times New Roman" w:cs="Times New Roman"/>
          <w:i/>
          <w:sz w:val="24"/>
          <w:szCs w:val="24"/>
        </w:rPr>
        <w:t>five forces of competition model</w:t>
      </w:r>
      <w:r w:rsidRPr="004001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C26AE4B" w14:textId="77777777" w:rsidR="004479A5" w:rsidRDefault="004479A5" w:rsidP="003E5F2A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AF103A">
        <w:rPr>
          <w:rFonts w:ascii="Times New Roman" w:hAnsi="Times New Roman" w:cs="Times New Roman"/>
          <w:sz w:val="24"/>
          <w:szCs w:val="24"/>
        </w:rPr>
        <w:t>emetakan</w:t>
      </w:r>
      <w:proofErr w:type="spellEnd"/>
      <w:r w:rsidRPr="00AF1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03A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03A">
        <w:rPr>
          <w:rFonts w:ascii="Times New Roman" w:hAnsi="Times New Roman" w:cs="Times New Roman"/>
          <w:sz w:val="24"/>
          <w:szCs w:val="24"/>
        </w:rPr>
        <w:t>kompetitif</w:t>
      </w:r>
      <w:proofErr w:type="spellEnd"/>
      <w:r w:rsidRPr="00AF10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Internal-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12F92500" w14:textId="77777777" w:rsidR="004479A5" w:rsidRPr="00CE1813" w:rsidRDefault="004479A5" w:rsidP="003E5F2A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813">
        <w:rPr>
          <w:rFonts w:ascii="Times New Roman" w:hAnsi="Times New Roman" w:cs="Times New Roman"/>
          <w:sz w:val="24"/>
          <w:szCs w:val="24"/>
        </w:rPr>
        <w:t xml:space="preserve">strategi </w:t>
      </w:r>
      <w:proofErr w:type="spellStart"/>
      <w:r w:rsidRPr="00CE1813"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 w:rsidRPr="00CE18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1813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CE1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8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1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813">
        <w:rPr>
          <w:rFonts w:ascii="Times New Roman" w:hAnsi="Times New Roman" w:cs="Times New Roman"/>
          <w:sz w:val="24"/>
          <w:szCs w:val="24"/>
        </w:rPr>
        <w:t>diaplikasikan</w:t>
      </w:r>
      <w:proofErr w:type="spellEnd"/>
      <w:r w:rsidRPr="00CE1813">
        <w:rPr>
          <w:rFonts w:ascii="Times New Roman" w:hAnsi="Times New Roman" w:cs="Times New Roman"/>
          <w:sz w:val="24"/>
          <w:szCs w:val="24"/>
        </w:rPr>
        <w:t xml:space="preserve"> di PT Semen</w:t>
      </w:r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Tbk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F21792C" w14:textId="45976857" w:rsidR="0068648B" w:rsidRDefault="004479A5" w:rsidP="003E5F2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Pemetaan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</w:p>
    <w:p w14:paraId="690E1AA9" w14:textId="77777777" w:rsidR="004479A5" w:rsidRPr="004479A5" w:rsidRDefault="004479A5" w:rsidP="003E5F2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9A5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PT Semen Indonesia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Persemenan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Terkemuka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di Indonesia dan Asia Tenggara”. </w:t>
      </w:r>
    </w:p>
    <w:p w14:paraId="5D21B436" w14:textId="77777777" w:rsidR="004479A5" w:rsidRPr="004479A5" w:rsidRDefault="004479A5" w:rsidP="003E5F2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PT Semen Indonesia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479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10B6E41" w14:textId="77777777" w:rsidR="004479A5" w:rsidRPr="004479A5" w:rsidRDefault="004479A5" w:rsidP="003E5F2A">
      <w:pPr>
        <w:pStyle w:val="ListParagraph"/>
        <w:numPr>
          <w:ilvl w:val="0"/>
          <w:numId w:val="3"/>
        </w:numPr>
        <w:spacing w:after="160" w:line="360" w:lineRule="auto"/>
        <w:ind w:left="113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memproduksi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memperdagangkan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semen dan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berorientasikan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ramah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E91B05E" w14:textId="77777777" w:rsidR="004479A5" w:rsidRPr="004479A5" w:rsidRDefault="004479A5" w:rsidP="003E5F2A">
      <w:pPr>
        <w:pStyle w:val="ListParagraph"/>
        <w:numPr>
          <w:ilvl w:val="0"/>
          <w:numId w:val="3"/>
        </w:numPr>
        <w:spacing w:after="160" w:line="360" w:lineRule="auto"/>
        <w:ind w:left="113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berstandar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627F0A0" w14:textId="77777777" w:rsidR="004479A5" w:rsidRPr="004479A5" w:rsidRDefault="004479A5" w:rsidP="003E5F2A">
      <w:pPr>
        <w:pStyle w:val="ListParagraph"/>
        <w:numPr>
          <w:ilvl w:val="0"/>
          <w:numId w:val="3"/>
        </w:numPr>
        <w:spacing w:after="160" w:line="360" w:lineRule="auto"/>
        <w:ind w:left="113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memberdayakan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mensinergikan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46E1E0" w14:textId="77777777" w:rsidR="004479A5" w:rsidRPr="004479A5" w:rsidRDefault="004479A5" w:rsidP="003E5F2A">
      <w:pPr>
        <w:pStyle w:val="ListParagraph"/>
        <w:numPr>
          <w:ilvl w:val="0"/>
          <w:numId w:val="3"/>
        </w:numPr>
        <w:spacing w:after="160" w:line="360" w:lineRule="auto"/>
        <w:ind w:left="1131"/>
        <w:jc w:val="both"/>
        <w:rPr>
          <w:rFonts w:ascii="Times New Roman" w:hAnsi="Times New Roman" w:cs="Times New Roman"/>
          <w:sz w:val="24"/>
          <w:szCs w:val="24"/>
        </w:rPr>
      </w:pPr>
      <w:r w:rsidRPr="004479A5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8AA3A7" w14:textId="04380373" w:rsidR="004479A5" w:rsidRDefault="004479A5" w:rsidP="003E5F2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Menyusun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Prioritas</w:t>
      </w:r>
      <w:proofErr w:type="spellEnd"/>
    </w:p>
    <w:p w14:paraId="27FF5840" w14:textId="77777777" w:rsidR="004479A5" w:rsidRPr="004479A5" w:rsidRDefault="004479A5" w:rsidP="003E5F2A">
      <w:pPr>
        <w:pStyle w:val="ListParagraph"/>
        <w:spacing w:after="0" w:line="360" w:lineRule="auto"/>
        <w:ind w:left="360" w:firstLine="36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Seluruh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Direksi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Dewan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Komisaris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dan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karyawan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PT Semen Indonesia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Tbk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melakukan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fungsi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sesuai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tercantum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pembagian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tugas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jelas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terinci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dan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terukur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serta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mempertanggung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jawabkan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segala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tidakan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dilakukan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Perseroan juga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terus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melakukan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penyempurnaan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4479A5">
        <w:rPr>
          <w:rFonts w:ascii="Times New Roman" w:eastAsia="SimSun" w:hAnsi="Times New Roman" w:cs="Times New Roman"/>
          <w:i/>
          <w:color w:val="000000"/>
          <w:sz w:val="24"/>
          <w:szCs w:val="24"/>
          <w:lang w:eastAsia="zh-CN" w:bidi="ar"/>
        </w:rPr>
        <w:t xml:space="preserve">Standard Operating Procedure </w:t>
      </w:r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(SOP) pada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seluruh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proses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bisnis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dituangkan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Sistem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Manajemen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Semen Indonesia (SMSI).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Penempatan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pabrik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berlokasi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di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Tuban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memberi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kemudahan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akses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mendapatkan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bahan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baku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karena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lokasinya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dekat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Gunung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Kapur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Selain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itu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lokasi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pabrik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tersebut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berlokasi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di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tengah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pulau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Jawa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merupakan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akses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jalur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pantura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dan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pelabuhan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sehingga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memudahkan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proses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perdagangan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dan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pengiriman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semen. Perusahaan juga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telah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men-</w:t>
      </w:r>
      <w:r w:rsidRPr="004479A5">
        <w:rPr>
          <w:rFonts w:ascii="Times New Roman" w:eastAsia="SimSun" w:hAnsi="Times New Roman" w:cs="Times New Roman"/>
          <w:i/>
          <w:color w:val="000000"/>
          <w:sz w:val="24"/>
          <w:szCs w:val="24"/>
          <w:lang w:eastAsia="zh-CN" w:bidi="ar"/>
        </w:rPr>
        <w:t xml:space="preserve">develop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mesin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di </w:t>
      </w:r>
      <w:r w:rsidRPr="004479A5">
        <w:rPr>
          <w:rFonts w:ascii="Times New Roman" w:eastAsia="SimSun" w:hAnsi="Times New Roman" w:cs="Times New Roman"/>
          <w:i/>
          <w:color w:val="000000"/>
          <w:sz w:val="24"/>
          <w:szCs w:val="24"/>
          <w:lang w:eastAsia="zh-CN" w:bidi="ar"/>
        </w:rPr>
        <w:t xml:space="preserve">custom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untuk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menyesuaikan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kapasitas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terpasang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dan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kapasitas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terpakai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Teknologi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lastRenderedPageBreak/>
        <w:t>digunakan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hak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paten,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merek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dagang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hak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cipta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dan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rahasia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dagang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sudah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termasuk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baik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Untuk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meningkatkan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pembelajaran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pengembangan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dan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berbagai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hal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terkait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SDM,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perusahaan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melaksanakan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program Semen Indonesia Center of the Champs (SICC),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peran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utama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untuk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menyiapkan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SDM yang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kompeten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atau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4479A5">
        <w:rPr>
          <w:rFonts w:ascii="Times New Roman" w:eastAsia="SimSun" w:hAnsi="Times New Roman" w:cs="Times New Roman"/>
          <w:i/>
          <w:color w:val="000000"/>
          <w:sz w:val="24"/>
          <w:szCs w:val="24"/>
          <w:lang w:eastAsia="zh-CN" w:bidi="ar"/>
        </w:rPr>
        <w:t xml:space="preserve">best people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sekaligus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meningkatkan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kinerja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unggul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dan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penguatan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struktur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industri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Berkembangnya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ide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kreatif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dan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inovatif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para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karyawan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PT Semen Indonesia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Tbk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dikemas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4479A5">
        <w:rPr>
          <w:rFonts w:ascii="Times New Roman" w:eastAsia="SimSun" w:hAnsi="Times New Roman" w:cs="Times New Roman"/>
          <w:i/>
          <w:color w:val="000000"/>
          <w:sz w:val="24"/>
          <w:szCs w:val="24"/>
          <w:lang w:eastAsia="zh-CN" w:bidi="ar"/>
        </w:rPr>
        <w:t xml:space="preserve">event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Manajemen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Inovasi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Semen Indonesia agar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semakin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mengukuhkan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eksistensi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perusahaan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membangun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budaya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inovasi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kuat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karyawan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Salah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satu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reputasi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sangat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mempengaruhi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keberhasilan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perusahaan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adalah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dari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4479A5">
        <w:rPr>
          <w:rFonts w:ascii="Times New Roman" w:eastAsia="SimSun" w:hAnsi="Times New Roman" w:cs="Times New Roman"/>
          <w:i/>
          <w:color w:val="000000"/>
          <w:sz w:val="24"/>
          <w:szCs w:val="24"/>
          <w:lang w:eastAsia="zh-CN" w:bidi="ar"/>
        </w:rPr>
        <w:t xml:space="preserve">brand image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atau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logo yang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dimiliki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PT Semen Indonesia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Tbk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Merek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produk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sudah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sejak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lama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dikenal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dapat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meningkatkan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reputasi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perusahaan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demikian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pula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persepsi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pembeli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terhadap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kualitas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dan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kehandalan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produk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sangat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baik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terutama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bagi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pembeli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berdomisili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di wilayah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setempat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Perusahaan juga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menerapkan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komunikasi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pemasok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memberikan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jaminan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pembayaran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i/>
          <w:color w:val="000000"/>
          <w:sz w:val="24"/>
          <w:szCs w:val="24"/>
          <w:lang w:eastAsia="zh-CN" w:bidi="ar"/>
        </w:rPr>
        <w:t>ontime</w:t>
      </w:r>
      <w:proofErr w:type="spellEnd"/>
      <w:r w:rsidRPr="004479A5">
        <w:rPr>
          <w:rFonts w:ascii="Times New Roman" w:eastAsia="SimSun" w:hAnsi="Times New Roman" w:cs="Times New Roman"/>
          <w:i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sepanjang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seluruh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prosedur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dan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dokumen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penagihan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lengkap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serta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menerapkan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4479A5">
        <w:rPr>
          <w:rFonts w:ascii="Times New Roman" w:eastAsia="SimSun" w:hAnsi="Times New Roman" w:cs="Times New Roman"/>
          <w:i/>
          <w:color w:val="000000"/>
          <w:sz w:val="24"/>
          <w:szCs w:val="24"/>
          <w:lang w:eastAsia="zh-CN" w:bidi="ar"/>
        </w:rPr>
        <w:t xml:space="preserve">e-procurement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untuk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memonitor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kualitas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jasa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dan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barang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baik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dari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pemasok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Dari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analisa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tersebut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dapat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disimpulkan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sumber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daya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dimiliki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PT Semen Indonesia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Tbk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tergolong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kuat</w:t>
      </w:r>
      <w:proofErr w:type="spellEnd"/>
      <w:r w:rsidRPr="004479A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</w:p>
    <w:p w14:paraId="09E961F9" w14:textId="54989C2D" w:rsidR="004479A5" w:rsidRDefault="004479A5" w:rsidP="003E5F2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</w:pP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  <w:t>Menetapkan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 Strategi</w:t>
      </w:r>
    </w:p>
    <w:p w14:paraId="66F45941" w14:textId="77777777" w:rsidR="004479A5" w:rsidRDefault="004479A5" w:rsidP="003E5F2A">
      <w:pPr>
        <w:pStyle w:val="ListParagraph"/>
        <w:numPr>
          <w:ilvl w:val="1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9A5">
        <w:rPr>
          <w:rFonts w:ascii="Times New Roman" w:hAnsi="Times New Roman" w:cs="Times New Roman"/>
          <w:sz w:val="24"/>
          <w:szCs w:val="24"/>
        </w:rPr>
        <w:t xml:space="preserve">Integrasi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horisontal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(horizontal integration)</w:t>
      </w:r>
    </w:p>
    <w:p w14:paraId="790B175B" w14:textId="7EEB0562" w:rsidR="004479A5" w:rsidRDefault="004479A5" w:rsidP="003E5F2A">
      <w:pPr>
        <w:pStyle w:val="ListParagraph"/>
        <w:spacing w:after="160"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4479A5">
        <w:rPr>
          <w:rFonts w:ascii="Times New Roman" w:hAnsi="Times New Roman" w:cs="Times New Roman"/>
          <w:sz w:val="24"/>
          <w:szCs w:val="24"/>
        </w:rPr>
        <w:t>ntensitas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horisontal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mengupayakan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pesaing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. Strategi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akuisisi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memperbanyak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, PT Semen Indonesia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pasar di Indonesia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pangsa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43.9%. PT Semen Indonesia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mengakuisisi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semen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Vietnam,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Thang Long Cement Company (TLCC)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patungan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PT Krakatau Steel Indonesia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PT Krakatau Semen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akuisisi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organisasi.</w:t>
      </w:r>
      <w:proofErr w:type="spellEnd"/>
    </w:p>
    <w:p w14:paraId="72711E9B" w14:textId="77777777" w:rsidR="004479A5" w:rsidRDefault="004479A5" w:rsidP="003E5F2A">
      <w:pPr>
        <w:pStyle w:val="ListParagraph"/>
        <w:numPr>
          <w:ilvl w:val="1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Penetrasi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pasar (market penetration)</w:t>
      </w:r>
    </w:p>
    <w:p w14:paraId="5A8C76A7" w14:textId="35943ED9" w:rsidR="004479A5" w:rsidRPr="004479A5" w:rsidRDefault="004479A5" w:rsidP="003E5F2A">
      <w:pPr>
        <w:pStyle w:val="ListParagraph"/>
        <w:spacing w:after="160"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4479A5">
        <w:rPr>
          <w:rFonts w:ascii="Times New Roman" w:hAnsi="Times New Roman" w:cs="Times New Roman"/>
          <w:sz w:val="24"/>
          <w:szCs w:val="24"/>
        </w:rPr>
        <w:t xml:space="preserve">erusahaan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memperbesar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dijangkau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pelosok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, strategi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penetrasi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pada PT Semen Indonesia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. Strategi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perluasan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jangkauan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>.</w:t>
      </w:r>
    </w:p>
    <w:p w14:paraId="4EEF7B61" w14:textId="77777777" w:rsidR="004479A5" w:rsidRDefault="004479A5" w:rsidP="003E5F2A">
      <w:pPr>
        <w:pStyle w:val="ListParagraph"/>
        <w:numPr>
          <w:ilvl w:val="1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(product development)</w:t>
      </w:r>
    </w:p>
    <w:p w14:paraId="04934150" w14:textId="3712529F" w:rsidR="004479A5" w:rsidRPr="004479A5" w:rsidRDefault="004479A5" w:rsidP="003E5F2A">
      <w:pPr>
        <w:pStyle w:val="ListParagraph"/>
        <w:spacing w:after="160"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479A5">
        <w:rPr>
          <w:rFonts w:ascii="Times New Roman" w:hAnsi="Times New Roman" w:cs="Times New Roman"/>
          <w:sz w:val="24"/>
          <w:szCs w:val="24"/>
        </w:rPr>
        <w:t xml:space="preserve">erusahaan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diferensiasi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pesaing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memperbanyak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semen yang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oleh PT Semen Indonesia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>.</w:t>
      </w:r>
      <w:r w:rsidR="003E5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meningjatkan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A5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4479A5">
        <w:rPr>
          <w:rFonts w:ascii="Times New Roman" w:hAnsi="Times New Roman" w:cs="Times New Roman"/>
          <w:sz w:val="24"/>
          <w:szCs w:val="24"/>
        </w:rPr>
        <w:t>.</w:t>
      </w:r>
    </w:p>
    <w:p w14:paraId="2A38A177" w14:textId="77777777" w:rsidR="004479A5" w:rsidRPr="004479A5" w:rsidRDefault="004479A5" w:rsidP="003E5F2A">
      <w:pPr>
        <w:pStyle w:val="ListParagraph"/>
        <w:spacing w:after="0" w:line="360" w:lineRule="auto"/>
        <w:ind w:left="36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</w:p>
    <w:p w14:paraId="73E8F7B7" w14:textId="77777777" w:rsidR="004479A5" w:rsidRPr="004479A5" w:rsidRDefault="004479A5" w:rsidP="003E5F2A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479A5" w:rsidRPr="00447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6575B"/>
    <w:multiLevelType w:val="hybridMultilevel"/>
    <w:tmpl w:val="E8BC384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71631CB"/>
    <w:multiLevelType w:val="hybridMultilevel"/>
    <w:tmpl w:val="990A8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8587C"/>
    <w:multiLevelType w:val="hybridMultilevel"/>
    <w:tmpl w:val="9CBAFF3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E76A750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AE132D"/>
    <w:multiLevelType w:val="hybridMultilevel"/>
    <w:tmpl w:val="BA1AF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E64F3"/>
    <w:multiLevelType w:val="hybridMultilevel"/>
    <w:tmpl w:val="28A6E4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56805"/>
    <w:multiLevelType w:val="hybridMultilevel"/>
    <w:tmpl w:val="1878066E"/>
    <w:lvl w:ilvl="0" w:tplc="0421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3F"/>
    <w:rsid w:val="000869BE"/>
    <w:rsid w:val="003E5F2A"/>
    <w:rsid w:val="004479A5"/>
    <w:rsid w:val="0068648B"/>
    <w:rsid w:val="00DD69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36CD"/>
  <w15:chartTrackingRefBased/>
  <w15:docId w15:val="{0CDF2324-96FC-4263-B8A3-D47E27DE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FC693F"/>
  </w:style>
  <w:style w:type="paragraph" w:styleId="ListParagraph">
    <w:name w:val="List Paragraph"/>
    <w:basedOn w:val="Normal"/>
    <w:uiPriority w:val="34"/>
    <w:qFormat/>
    <w:rsid w:val="006864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869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2021-04-28T12:26:00Z</dcterms:created>
  <dcterms:modified xsi:type="dcterms:W3CDTF">2021-04-28T13:10:00Z</dcterms:modified>
</cp:coreProperties>
</file>