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spacing w:after="0" w:line="254" w:lineRule="exact"/>
        <w:rPr>
          <w:sz w:val="24"/>
          <w:szCs w:val="24"/>
          <w:color w:val="auto"/>
        </w:rPr>
      </w:pPr>
    </w:p>
    <w:p>
      <w:pPr>
        <w:ind w:left="5880"/>
        <w:spacing w:after="0"/>
        <w:rPr>
          <w:sz w:val="20"/>
          <w:szCs w:val="20"/>
          <w:color w:val="auto"/>
        </w:rPr>
      </w:pPr>
      <w:r>
        <w:rPr>
          <w:rFonts w:ascii="Times New Roman" w:cs="Times New Roman" w:eastAsia="Times New Roman" w:hAnsi="Times New Roman"/>
          <w:sz w:val="24"/>
          <w:szCs w:val="24"/>
          <w:color w:val="auto"/>
        </w:rPr>
        <w:t>AMANATUN KHASANAH</w:t>
      </w:r>
    </w:p>
    <w:p>
      <w:pPr>
        <w:spacing w:after="0" w:line="137" w:lineRule="exact"/>
        <w:rPr>
          <w:sz w:val="24"/>
          <w:szCs w:val="24"/>
          <w:color w:val="auto"/>
        </w:rPr>
      </w:pPr>
    </w:p>
    <w:p>
      <w:pPr>
        <w:ind w:left="5880"/>
        <w:spacing w:after="0"/>
        <w:rPr>
          <w:sz w:val="20"/>
          <w:szCs w:val="20"/>
          <w:color w:val="auto"/>
        </w:rPr>
      </w:pPr>
      <w:r>
        <w:rPr>
          <w:rFonts w:ascii="Times New Roman" w:cs="Times New Roman" w:eastAsia="Times New Roman" w:hAnsi="Times New Roman"/>
          <w:sz w:val="24"/>
          <w:szCs w:val="24"/>
          <w:color w:val="auto"/>
        </w:rPr>
        <w:t>15808147020</w:t>
      </w:r>
    </w:p>
    <w:p>
      <w:pPr>
        <w:spacing w:after="0" w:line="139" w:lineRule="exact"/>
        <w:rPr>
          <w:sz w:val="24"/>
          <w:szCs w:val="24"/>
          <w:color w:val="auto"/>
        </w:rPr>
      </w:pPr>
    </w:p>
    <w:p>
      <w:pPr>
        <w:ind w:left="5880"/>
        <w:spacing w:after="0"/>
        <w:rPr>
          <w:sz w:val="20"/>
          <w:szCs w:val="20"/>
          <w:color w:val="auto"/>
        </w:rPr>
      </w:pPr>
      <w:r>
        <w:rPr>
          <w:rFonts w:ascii="Times New Roman" w:cs="Times New Roman" w:eastAsia="Times New Roman" w:hAnsi="Times New Roman"/>
          <w:sz w:val="24"/>
          <w:szCs w:val="24"/>
          <w:color w:val="auto"/>
        </w:rPr>
        <w:t>S1 MANAJEMEN PKS</w:t>
      </w:r>
    </w:p>
    <w:p>
      <w:pPr>
        <w:spacing w:after="0" w:line="200" w:lineRule="exact"/>
        <w:rPr>
          <w:sz w:val="24"/>
          <w:szCs w:val="24"/>
          <w:color w:val="auto"/>
        </w:rPr>
      </w:pPr>
    </w:p>
    <w:p>
      <w:pPr>
        <w:spacing w:after="0" w:line="357" w:lineRule="exact"/>
        <w:rPr>
          <w:sz w:val="24"/>
          <w:szCs w:val="24"/>
          <w:color w:val="auto"/>
        </w:rPr>
      </w:pPr>
    </w:p>
    <w:p>
      <w:pPr>
        <w:ind w:left="2800"/>
        <w:spacing w:after="0"/>
        <w:rPr>
          <w:sz w:val="20"/>
          <w:szCs w:val="20"/>
          <w:color w:val="auto"/>
        </w:rPr>
      </w:pPr>
      <w:r>
        <w:rPr>
          <w:rFonts w:ascii="Times New Roman" w:cs="Times New Roman" w:eastAsia="Times New Roman" w:hAnsi="Times New Roman"/>
          <w:sz w:val="24"/>
          <w:szCs w:val="24"/>
          <w:b w:val="1"/>
          <w:bCs w:val="1"/>
          <w:color w:val="auto"/>
        </w:rPr>
        <w:t>ROADMAP PT TASPEN (PERSERO)</w:t>
      </w:r>
    </w:p>
    <w:p>
      <w:pPr>
        <w:spacing w:after="0" w:line="137" w:lineRule="exact"/>
        <w:rPr>
          <w:sz w:val="24"/>
          <w:szCs w:val="24"/>
          <w:color w:val="auto"/>
        </w:rPr>
      </w:pPr>
    </w:p>
    <w:p>
      <w:pPr>
        <w:jc w:val="center"/>
        <w:ind w:right="-1269"/>
        <w:spacing w:after="0"/>
        <w:rPr>
          <w:sz w:val="20"/>
          <w:szCs w:val="20"/>
          <w:color w:val="auto"/>
        </w:rPr>
      </w:pPr>
      <w:r>
        <w:rPr>
          <w:rFonts w:ascii="Times New Roman" w:cs="Times New Roman" w:eastAsia="Times New Roman" w:hAnsi="Times New Roman"/>
          <w:sz w:val="24"/>
          <w:szCs w:val="24"/>
          <w:b w:val="1"/>
          <w:bCs w:val="1"/>
          <w:color w:val="222222"/>
        </w:rPr>
        <w:t>Alamat : Jl. Ipda Tut Harsono No.55, Muja Muju, Umbulharjo, Kota</w:t>
      </w:r>
    </w:p>
    <w:p>
      <w:pPr>
        <w:spacing w:after="0" w:line="139" w:lineRule="exact"/>
        <w:rPr>
          <w:sz w:val="24"/>
          <w:szCs w:val="24"/>
          <w:color w:val="auto"/>
        </w:rPr>
      </w:pPr>
    </w:p>
    <w:p>
      <w:pPr>
        <w:jc w:val="center"/>
        <w:ind w:right="-1269"/>
        <w:spacing w:after="0"/>
        <w:rPr>
          <w:sz w:val="20"/>
          <w:szCs w:val="20"/>
          <w:color w:val="auto"/>
        </w:rPr>
      </w:pPr>
      <w:r>
        <w:rPr>
          <w:rFonts w:ascii="Times New Roman" w:cs="Times New Roman" w:eastAsia="Times New Roman" w:hAnsi="Times New Roman"/>
          <w:sz w:val="24"/>
          <w:szCs w:val="24"/>
          <w:b w:val="1"/>
          <w:bCs w:val="1"/>
          <w:color w:val="222222"/>
        </w:rPr>
        <w:t>Yogyakarta, Daerah Istimewa Yogyakarta</w:t>
      </w:r>
    </w:p>
    <w:p>
      <w:pPr>
        <w:spacing w:after="0" w:line="200" w:lineRule="exact"/>
        <w:rPr>
          <w:sz w:val="24"/>
          <w:szCs w:val="24"/>
          <w:color w:val="auto"/>
        </w:rPr>
      </w:pPr>
    </w:p>
    <w:p>
      <w:pPr>
        <w:spacing w:after="0" w:line="364" w:lineRule="exact"/>
        <w:rPr>
          <w:sz w:val="24"/>
          <w:szCs w:val="24"/>
          <w:color w:val="auto"/>
        </w:rPr>
      </w:pPr>
    </w:p>
    <w:p>
      <w:pPr>
        <w:ind w:left="2260" w:right="270" w:hanging="1072"/>
        <w:spacing w:after="0" w:line="344" w:lineRule="auto"/>
        <w:tabs>
          <w:tab w:leader="none" w:pos="1540" w:val="left"/>
        </w:tabs>
        <w:numPr>
          <w:ilvl w:val="0"/>
          <w:numId w:val="1"/>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 xml:space="preserve">SEJARAH PERUSAHAAN KANTOR CABANG YOGYAKARTA </w:t>
      </w:r>
      <w:r>
        <w:rPr>
          <w:rFonts w:ascii="Times New Roman" w:cs="Times New Roman" w:eastAsia="Times New Roman" w:hAnsi="Times New Roman"/>
          <w:sz w:val="24"/>
          <w:szCs w:val="24"/>
          <w:color w:val="auto"/>
        </w:rPr>
        <w:t>Pembentukan Program Tabungan Hari Tua Pegawai Negeri</w:t>
      </w:r>
    </w:p>
    <w:p>
      <w:pPr>
        <w:spacing w:after="0" w:line="32" w:lineRule="exact"/>
        <w:rPr>
          <w:sz w:val="24"/>
          <w:szCs w:val="24"/>
          <w:color w:val="auto"/>
        </w:rPr>
      </w:pPr>
    </w:p>
    <w:p>
      <w:pPr>
        <w:jc w:val="both"/>
        <w:ind w:left="1540" w:right="270"/>
        <w:spacing w:after="0" w:line="356" w:lineRule="auto"/>
        <w:rPr>
          <w:sz w:val="20"/>
          <w:szCs w:val="20"/>
          <w:color w:val="auto"/>
        </w:rPr>
      </w:pPr>
      <w:r>
        <w:rPr>
          <w:rFonts w:ascii="Times New Roman" w:cs="Times New Roman" w:eastAsia="Times New Roman" w:hAnsi="Times New Roman"/>
          <w:sz w:val="24"/>
          <w:szCs w:val="24"/>
          <w:color w:val="auto"/>
        </w:rPr>
        <w:t>ditetapkan dalam Peraturan Pemerintah No 9 tahun 1963 tentang Pembelanjaan Pegawai Negeri dan Peraturan Pemerintah Nomor 10 tahun 1963 tentang Tabungan Asuransi dan Pegawai negeri. Ketika itu PN Taspen memperoleh kantor sendiri di Jl. Merdeka no 64 Bandung.</w:t>
      </w:r>
    </w:p>
    <w:p>
      <w:pPr>
        <w:spacing w:after="0" w:line="19" w:lineRule="exact"/>
        <w:rPr>
          <w:sz w:val="24"/>
          <w:szCs w:val="24"/>
          <w:color w:val="auto"/>
        </w:rPr>
      </w:pPr>
    </w:p>
    <w:p>
      <w:pPr>
        <w:jc w:val="both"/>
        <w:ind w:left="1540" w:right="270" w:firstLine="720"/>
        <w:spacing w:after="0" w:line="358" w:lineRule="auto"/>
        <w:rPr>
          <w:sz w:val="20"/>
          <w:szCs w:val="20"/>
          <w:color w:val="auto"/>
        </w:rPr>
      </w:pPr>
      <w:r>
        <w:rPr>
          <w:rFonts w:ascii="Times New Roman" w:cs="Times New Roman" w:eastAsia="Times New Roman" w:hAnsi="Times New Roman"/>
          <w:sz w:val="24"/>
          <w:szCs w:val="24"/>
          <w:color w:val="auto"/>
        </w:rPr>
        <w:t>Adapun proses pembentukan program pensiun pegawai negeri ditetapkan dengan Undang-undang No 11 tahun 1956 tentang pembelanjaan Pensiun dan Undang-undang No 11 tahun 1969 tentang pensiun pegawai dan pensiun janda/duda serta undang-undang No 8 tahun 1974 tentang Pokok-pokok kepegawaian. Selanjutnya dengan adanya Peraturan Pemerintah Nomor 25 tahun 1981 tentang Asuransi Sosial PNS maka dilakukan proses penggabungan program kesejahteraan pegawai negeri yang terdiri dari Program Tabungan Hari Tua dan Pensiun yang dikelola PN Taspen.</w:t>
      </w:r>
    </w:p>
    <w:p>
      <w:pPr>
        <w:spacing w:after="0" w:line="22" w:lineRule="exact"/>
        <w:rPr>
          <w:sz w:val="24"/>
          <w:szCs w:val="24"/>
          <w:color w:val="auto"/>
        </w:rPr>
      </w:pPr>
    </w:p>
    <w:p>
      <w:pPr>
        <w:jc w:val="both"/>
        <w:ind w:left="1540" w:right="270" w:firstLine="720"/>
        <w:spacing w:after="0" w:line="358" w:lineRule="auto"/>
        <w:rPr>
          <w:sz w:val="20"/>
          <w:szCs w:val="20"/>
          <w:color w:val="auto"/>
        </w:rPr>
      </w:pPr>
      <w:r>
        <w:rPr>
          <w:rFonts w:ascii="Times New Roman" w:cs="Times New Roman" w:eastAsia="Times New Roman" w:hAnsi="Times New Roman"/>
          <w:sz w:val="24"/>
          <w:szCs w:val="24"/>
          <w:color w:val="auto"/>
        </w:rPr>
        <w:t>Kantor PT Taspen (Persero) Cabang Yogyakarta dibuka pada tanggal 27 September 1988 dengan adanya penugasan dari Pemerintah kepada PT Taspen (Persero) untuk menyelenggarakan pembayaran pensiun di Wilayah Jawa dan Madura berdasarkan Surat Keputusan Menteri Keuangan RI No. 812/KMK.03/1988 tanggal 23 Agustus 1988 dan Keputusan Menteri Dalam Negeri Nomor : 842-1-755. Persiapan operasional Kantor Cabang telah dimulai sejak Bulan Juni 1988 dengan menempati gedung kontrak selama 3 (tiga) tahun. Kemudian pada tanggal 12 Oktober 1991 Kantor Cabang Yogyakarta menempati gedung sendiri</w:t>
      </w:r>
    </w:p>
    <w:p>
      <w:pPr>
        <w:sectPr>
          <w:pgSz w:w="11920" w:h="16845" w:orient="portrait"/>
          <w:cols w:equalWidth="0" w:num="1">
            <w:col w:w="9030"/>
          </w:cols>
          <w:pgMar w:left="1440" w:top="1440" w:right="1440" w:bottom="1440" w:gutter="0" w:footer="0" w:header="0"/>
        </w:sectPr>
      </w:pPr>
    </w:p>
    <w:p>
      <w:pPr>
        <w:spacing w:after="0" w:line="266" w:lineRule="exact"/>
        <w:rPr>
          <w:sz w:val="20"/>
          <w:szCs w:val="20"/>
          <w:color w:val="auto"/>
        </w:rPr>
      </w:pPr>
    </w:p>
    <w:p>
      <w:pPr>
        <w:jc w:val="both"/>
        <w:ind w:left="1540" w:right="270"/>
        <w:spacing w:after="0" w:line="348" w:lineRule="auto"/>
        <w:rPr>
          <w:sz w:val="20"/>
          <w:szCs w:val="20"/>
          <w:color w:val="auto"/>
        </w:rPr>
      </w:pPr>
      <w:r>
        <w:rPr>
          <w:rFonts w:ascii="Times New Roman" w:cs="Times New Roman" w:eastAsia="Times New Roman" w:hAnsi="Times New Roman"/>
          <w:sz w:val="24"/>
          <w:szCs w:val="24"/>
          <w:color w:val="auto"/>
        </w:rPr>
        <w:t>dengan diresmikan oleh Wakil Gubernur DI Yogyakarta, KGPAA Paku Alam VIII, dan disaksikan oleh Direksi PT Taspen (Persero) pada saat itu.</w:t>
      </w:r>
    </w:p>
    <w:p>
      <w:pPr>
        <w:spacing w:after="0" w:line="306" w:lineRule="exact"/>
        <w:rPr>
          <w:sz w:val="20"/>
          <w:szCs w:val="20"/>
          <w:color w:val="auto"/>
        </w:rPr>
      </w:pPr>
    </w:p>
    <w:p>
      <w:pPr>
        <w:jc w:val="both"/>
        <w:ind w:left="1540" w:right="270"/>
        <w:spacing w:after="0" w:line="358" w:lineRule="auto"/>
        <w:rPr>
          <w:sz w:val="20"/>
          <w:szCs w:val="20"/>
          <w:color w:val="auto"/>
        </w:rPr>
      </w:pPr>
      <w:r>
        <w:rPr>
          <w:rFonts w:ascii="Times New Roman" w:cs="Times New Roman" w:eastAsia="Times New Roman" w:hAnsi="Times New Roman"/>
          <w:sz w:val="24"/>
          <w:szCs w:val="24"/>
          <w:color w:val="auto"/>
        </w:rPr>
        <w:t>Namun pada tanggal 27 Mei 2006 pada saat Yogyakarta dilanda gempa hebat, Gedung Kantor Cabang Yogyakarta mengalami kerusakan berat sehingga harus dilakukan renovasi. Selama proses renovasi gedung berlangsung, kegiatan operasional menempati “Ruang Bedheng” yang berada di halaman belakang Kantor Cabang Yogyakarta. Setelah renovasi selesai, penempatan gedung diresmikan oleh Gubernur Daerah Istimewa Yogyakarta, Sri Sultan Hamengkubuwono X pada tanggal 30 Januari 2008 dan disaksikan oleh Direksi PT Taspen (Persero) serta dihadiri oleh Walikota Yogyakarta, Herry Zudianto, SE., Akt.</w:t>
      </w:r>
    </w:p>
    <w:p>
      <w:pPr>
        <w:spacing w:after="0" w:line="296" w:lineRule="exact"/>
        <w:rPr>
          <w:sz w:val="20"/>
          <w:szCs w:val="20"/>
          <w:color w:val="auto"/>
        </w:rPr>
      </w:pPr>
    </w:p>
    <w:p>
      <w:pPr>
        <w:ind w:left="1540" w:hanging="352"/>
        <w:spacing w:after="0"/>
        <w:tabs>
          <w:tab w:leader="none" w:pos="1540" w:val="left"/>
        </w:tabs>
        <w:numPr>
          <w:ilvl w:val="0"/>
          <w:numId w:val="2"/>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VISI DAN MISI</w:t>
      </w:r>
    </w:p>
    <w:p>
      <w:pPr>
        <w:spacing w:after="0" w:line="144" w:lineRule="exact"/>
        <w:rPr>
          <w:rFonts w:ascii="Times New Roman" w:cs="Times New Roman" w:eastAsia="Times New Roman" w:hAnsi="Times New Roman"/>
          <w:sz w:val="24"/>
          <w:szCs w:val="24"/>
          <w:b w:val="1"/>
          <w:bCs w:val="1"/>
          <w:color w:val="auto"/>
        </w:rPr>
      </w:pPr>
    </w:p>
    <w:p>
      <w:pPr>
        <w:ind w:left="2240" w:right="270" w:hanging="710"/>
        <w:spacing w:after="0" w:line="348" w:lineRule="auto"/>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color w:val="auto"/>
        </w:rPr>
        <w:t>Visi : Menjadi pengelola dana pensiun dan Tabungan Hari Tua (THT) serta jaminan sosial lainnya yang terpercaya.</w:t>
      </w:r>
    </w:p>
    <w:p>
      <w:pPr>
        <w:spacing w:after="0" w:line="27" w:lineRule="exact"/>
        <w:rPr>
          <w:rFonts w:ascii="Times New Roman" w:cs="Times New Roman" w:eastAsia="Times New Roman" w:hAnsi="Times New Roman"/>
          <w:sz w:val="24"/>
          <w:szCs w:val="24"/>
          <w:b w:val="1"/>
          <w:bCs w:val="1"/>
          <w:color w:val="auto"/>
        </w:rPr>
      </w:pPr>
    </w:p>
    <w:p>
      <w:pPr>
        <w:ind w:left="2240" w:right="270" w:hanging="710"/>
        <w:spacing w:after="0" w:line="354" w:lineRule="auto"/>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color w:val="auto"/>
        </w:rPr>
        <w:t>Misi : Mewujudkan manfaat dan pelayanan yang semakin baik bagi peserta dan stakeholder lainnya secara profesional dan akuntabel, berlandaskan integritas dan etika yang tinggi.</w:t>
      </w:r>
    </w:p>
    <w:p>
      <w:pPr>
        <w:spacing w:after="0" w:line="200" w:lineRule="exact"/>
        <w:rPr>
          <w:rFonts w:ascii="Times New Roman" w:cs="Times New Roman" w:eastAsia="Times New Roman" w:hAnsi="Times New Roman"/>
          <w:sz w:val="24"/>
          <w:szCs w:val="24"/>
          <w:b w:val="1"/>
          <w:bCs w:val="1"/>
          <w:color w:val="auto"/>
        </w:rPr>
      </w:pPr>
    </w:p>
    <w:p>
      <w:pPr>
        <w:spacing w:after="0" w:line="229" w:lineRule="exact"/>
        <w:rPr>
          <w:rFonts w:ascii="Times New Roman" w:cs="Times New Roman" w:eastAsia="Times New Roman" w:hAnsi="Times New Roman"/>
          <w:sz w:val="24"/>
          <w:szCs w:val="24"/>
          <w:b w:val="1"/>
          <w:bCs w:val="1"/>
          <w:color w:val="auto"/>
        </w:rPr>
      </w:pPr>
    </w:p>
    <w:p>
      <w:pPr>
        <w:ind w:left="1540" w:hanging="352"/>
        <w:spacing w:after="0"/>
        <w:tabs>
          <w:tab w:leader="none" w:pos="1540" w:val="left"/>
        </w:tabs>
        <w:numPr>
          <w:ilvl w:val="0"/>
          <w:numId w:val="2"/>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5 NILAI UTAMA TASPEN</w:t>
      </w:r>
    </w:p>
    <w:p>
      <w:pPr>
        <w:spacing w:after="0" w:line="200" w:lineRule="exact"/>
        <w:rPr>
          <w:rFonts w:ascii="Times New Roman" w:cs="Times New Roman" w:eastAsia="Times New Roman" w:hAnsi="Times New Roman"/>
          <w:sz w:val="24"/>
          <w:szCs w:val="24"/>
          <w:b w:val="1"/>
          <w:bCs w:val="1"/>
          <w:color w:val="auto"/>
        </w:rPr>
      </w:pPr>
    </w:p>
    <w:p>
      <w:pPr>
        <w:spacing w:after="0" w:line="217" w:lineRule="exact"/>
        <w:rPr>
          <w:rFonts w:ascii="Times New Roman" w:cs="Times New Roman" w:eastAsia="Times New Roman" w:hAnsi="Times New Roman"/>
          <w:sz w:val="24"/>
          <w:szCs w:val="24"/>
          <w:b w:val="1"/>
          <w:bCs w:val="1"/>
          <w:color w:val="auto"/>
        </w:rPr>
      </w:pPr>
    </w:p>
    <w:p>
      <w:pPr>
        <w:ind w:left="1820" w:hanging="284"/>
        <w:spacing w:after="0"/>
        <w:tabs>
          <w:tab w:leader="none" w:pos="1820" w:val="left"/>
        </w:tabs>
        <w:numPr>
          <w:ilvl w:val="1"/>
          <w:numId w:val="2"/>
        </w:numPr>
        <w:rPr>
          <w:rFonts w:ascii="Wingdings" w:cs="Wingdings" w:eastAsia="Wingdings" w:hAnsi="Wingdings"/>
          <w:sz w:val="24"/>
          <w:szCs w:val="24"/>
          <w:color w:val="auto"/>
        </w:rPr>
      </w:pPr>
      <w:r>
        <w:rPr>
          <w:rFonts w:ascii="Times New Roman" w:cs="Times New Roman" w:eastAsia="Times New Roman" w:hAnsi="Times New Roman"/>
          <w:sz w:val="24"/>
          <w:szCs w:val="24"/>
          <w:b w:val="1"/>
          <w:bCs w:val="1"/>
          <w:color w:val="auto"/>
        </w:rPr>
        <w:t>INTEGRITAS</w:t>
      </w:r>
    </w:p>
    <w:p>
      <w:pPr>
        <w:spacing w:after="0" w:line="144" w:lineRule="exact"/>
        <w:rPr>
          <w:rFonts w:ascii="Wingdings" w:cs="Wingdings" w:eastAsia="Wingdings" w:hAnsi="Wingdings"/>
          <w:sz w:val="24"/>
          <w:szCs w:val="24"/>
          <w:color w:val="auto"/>
        </w:rPr>
      </w:pPr>
    </w:p>
    <w:p>
      <w:pPr>
        <w:ind w:left="1820" w:right="270"/>
        <w:spacing w:after="0" w:line="350"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Satunya perkataan dengan perbuatan dan senantiasa konsisten dalam memegang amanah dan tanggung jawab.</w:t>
      </w:r>
    </w:p>
    <w:p>
      <w:pPr>
        <w:spacing w:after="0" w:line="15" w:lineRule="exact"/>
        <w:rPr>
          <w:rFonts w:ascii="Wingdings" w:cs="Wingdings" w:eastAsia="Wingdings" w:hAnsi="Wingdings"/>
          <w:sz w:val="24"/>
          <w:szCs w:val="24"/>
          <w:color w:val="auto"/>
        </w:rPr>
      </w:pPr>
    </w:p>
    <w:p>
      <w:pPr>
        <w:ind w:left="1820" w:hanging="284"/>
        <w:spacing w:after="0"/>
        <w:tabs>
          <w:tab w:leader="none" w:pos="1820" w:val="left"/>
        </w:tabs>
        <w:numPr>
          <w:ilvl w:val="1"/>
          <w:numId w:val="2"/>
        </w:numPr>
        <w:rPr>
          <w:rFonts w:ascii="Wingdings" w:cs="Wingdings" w:eastAsia="Wingdings" w:hAnsi="Wingdings"/>
          <w:sz w:val="24"/>
          <w:szCs w:val="24"/>
          <w:color w:val="auto"/>
        </w:rPr>
      </w:pPr>
      <w:r>
        <w:rPr>
          <w:rFonts w:ascii="Times New Roman" w:cs="Times New Roman" w:eastAsia="Times New Roman" w:hAnsi="Times New Roman"/>
          <w:sz w:val="24"/>
          <w:szCs w:val="24"/>
          <w:b w:val="1"/>
          <w:bCs w:val="1"/>
          <w:color w:val="auto"/>
        </w:rPr>
        <w:t>PROFESIONAL</w:t>
      </w:r>
    </w:p>
    <w:p>
      <w:pPr>
        <w:spacing w:after="0" w:line="146" w:lineRule="exact"/>
        <w:rPr>
          <w:rFonts w:ascii="Wingdings" w:cs="Wingdings" w:eastAsia="Wingdings" w:hAnsi="Wingdings"/>
          <w:sz w:val="24"/>
          <w:szCs w:val="24"/>
          <w:color w:val="auto"/>
        </w:rPr>
      </w:pPr>
    </w:p>
    <w:p>
      <w:pPr>
        <w:jc w:val="both"/>
        <w:ind w:left="1820" w:right="270"/>
        <w:spacing w:after="0" w:line="354"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Senantiasa bekerja dengan menggunakan kompetensi terbaik yang dimiliki untuk memberikan hasil dan manfaat yang semakin meningkat bagi perusahaan.</w:t>
      </w:r>
    </w:p>
    <w:p>
      <w:pPr>
        <w:spacing w:after="0" w:line="12" w:lineRule="exact"/>
        <w:rPr>
          <w:rFonts w:ascii="Wingdings" w:cs="Wingdings" w:eastAsia="Wingdings" w:hAnsi="Wingdings"/>
          <w:sz w:val="24"/>
          <w:szCs w:val="24"/>
          <w:color w:val="auto"/>
        </w:rPr>
      </w:pPr>
    </w:p>
    <w:p>
      <w:pPr>
        <w:ind w:left="1820" w:hanging="284"/>
        <w:spacing w:after="0"/>
        <w:tabs>
          <w:tab w:leader="none" w:pos="1820" w:val="left"/>
        </w:tabs>
        <w:numPr>
          <w:ilvl w:val="1"/>
          <w:numId w:val="2"/>
        </w:numPr>
        <w:rPr>
          <w:rFonts w:ascii="Wingdings" w:cs="Wingdings" w:eastAsia="Wingdings" w:hAnsi="Wingdings"/>
          <w:sz w:val="24"/>
          <w:szCs w:val="24"/>
          <w:color w:val="auto"/>
        </w:rPr>
      </w:pPr>
      <w:r>
        <w:rPr>
          <w:rFonts w:ascii="Times New Roman" w:cs="Times New Roman" w:eastAsia="Times New Roman" w:hAnsi="Times New Roman"/>
          <w:sz w:val="24"/>
          <w:szCs w:val="24"/>
          <w:b w:val="1"/>
          <w:bCs w:val="1"/>
          <w:color w:val="auto"/>
        </w:rPr>
        <w:t>INOVATIF</w:t>
      </w:r>
    </w:p>
    <w:p>
      <w:pPr>
        <w:spacing w:after="0" w:line="146" w:lineRule="exact"/>
        <w:rPr>
          <w:rFonts w:ascii="Wingdings" w:cs="Wingdings" w:eastAsia="Wingdings" w:hAnsi="Wingdings"/>
          <w:sz w:val="24"/>
          <w:szCs w:val="24"/>
          <w:color w:val="auto"/>
        </w:rPr>
      </w:pPr>
    </w:p>
    <w:p>
      <w:pPr>
        <w:ind w:left="1820" w:right="270"/>
        <w:spacing w:after="0" w:line="348"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Kreatif dalam menciptakan dan menerapkan ide-ide baru untuk mendukung kemajuan perusahaan.</w:t>
      </w:r>
    </w:p>
    <w:p>
      <w:pPr>
        <w:sectPr>
          <w:pgSz w:w="11920" w:h="16845" w:orient="portrait"/>
          <w:cols w:equalWidth="0" w:num="1">
            <w:col w:w="9030"/>
          </w:cols>
          <w:pgMar w:left="1440" w:top="1440" w:right="1440" w:bottom="1440" w:gutter="0" w:footer="0" w:header="0"/>
        </w:sectPr>
      </w:pPr>
    </w:p>
    <w:p>
      <w:pPr>
        <w:spacing w:after="0" w:line="259" w:lineRule="exact"/>
        <w:rPr>
          <w:sz w:val="20"/>
          <w:szCs w:val="20"/>
          <w:color w:val="auto"/>
        </w:rPr>
      </w:pPr>
    </w:p>
    <w:p>
      <w:pPr>
        <w:ind w:left="1820" w:hanging="284"/>
        <w:spacing w:after="0"/>
        <w:tabs>
          <w:tab w:leader="none" w:pos="1820" w:val="left"/>
        </w:tabs>
        <w:numPr>
          <w:ilvl w:val="1"/>
          <w:numId w:val="3"/>
        </w:numPr>
        <w:rPr>
          <w:rFonts w:ascii="Wingdings" w:cs="Wingdings" w:eastAsia="Wingdings" w:hAnsi="Wingdings"/>
          <w:sz w:val="24"/>
          <w:szCs w:val="24"/>
          <w:color w:val="auto"/>
        </w:rPr>
      </w:pPr>
      <w:r>
        <w:rPr>
          <w:rFonts w:ascii="Times New Roman" w:cs="Times New Roman" w:eastAsia="Times New Roman" w:hAnsi="Times New Roman"/>
          <w:sz w:val="24"/>
          <w:szCs w:val="24"/>
          <w:b w:val="1"/>
          <w:bCs w:val="1"/>
          <w:color w:val="auto"/>
        </w:rPr>
        <w:t>KOMPETITIF</w:t>
      </w:r>
    </w:p>
    <w:p>
      <w:pPr>
        <w:spacing w:after="0" w:line="144" w:lineRule="exact"/>
        <w:rPr>
          <w:rFonts w:ascii="Wingdings" w:cs="Wingdings" w:eastAsia="Wingdings" w:hAnsi="Wingdings"/>
          <w:sz w:val="24"/>
          <w:szCs w:val="24"/>
          <w:color w:val="auto"/>
        </w:rPr>
      </w:pPr>
    </w:p>
    <w:p>
      <w:pPr>
        <w:jc w:val="both"/>
        <w:ind w:left="1820" w:right="270"/>
        <w:spacing w:after="0" w:line="354"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Mempunyai daya saing yang tinggi dengan memiliki keunggulan karakter dan kompetensi guna memberikan hasil yang maksimal bagi perusahaan.</w:t>
      </w:r>
    </w:p>
    <w:p>
      <w:pPr>
        <w:spacing w:after="0" w:line="14" w:lineRule="exact"/>
        <w:rPr>
          <w:rFonts w:ascii="Wingdings" w:cs="Wingdings" w:eastAsia="Wingdings" w:hAnsi="Wingdings"/>
          <w:sz w:val="24"/>
          <w:szCs w:val="24"/>
          <w:color w:val="auto"/>
        </w:rPr>
      </w:pPr>
    </w:p>
    <w:p>
      <w:pPr>
        <w:ind w:left="1820" w:hanging="284"/>
        <w:spacing w:after="0"/>
        <w:tabs>
          <w:tab w:leader="none" w:pos="1820" w:val="left"/>
        </w:tabs>
        <w:numPr>
          <w:ilvl w:val="1"/>
          <w:numId w:val="3"/>
        </w:numPr>
        <w:rPr>
          <w:rFonts w:ascii="Wingdings" w:cs="Wingdings" w:eastAsia="Wingdings" w:hAnsi="Wingdings"/>
          <w:sz w:val="24"/>
          <w:szCs w:val="24"/>
          <w:color w:val="auto"/>
        </w:rPr>
      </w:pPr>
      <w:r>
        <w:rPr>
          <w:rFonts w:ascii="Times New Roman" w:cs="Times New Roman" w:eastAsia="Times New Roman" w:hAnsi="Times New Roman"/>
          <w:sz w:val="24"/>
          <w:szCs w:val="24"/>
          <w:b w:val="1"/>
          <w:bCs w:val="1"/>
          <w:color w:val="auto"/>
        </w:rPr>
        <w:t>TUMBUH</w:t>
      </w:r>
    </w:p>
    <w:p>
      <w:pPr>
        <w:spacing w:after="0" w:line="144" w:lineRule="exact"/>
        <w:rPr>
          <w:rFonts w:ascii="Wingdings" w:cs="Wingdings" w:eastAsia="Wingdings" w:hAnsi="Wingdings"/>
          <w:sz w:val="24"/>
          <w:szCs w:val="24"/>
          <w:color w:val="auto"/>
        </w:rPr>
      </w:pPr>
    </w:p>
    <w:p>
      <w:pPr>
        <w:ind w:left="1820" w:right="270"/>
        <w:spacing w:after="0" w:line="350"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Berkembang selaras dengan tuntutan perubahan baik eksternal maupun internal.</w:t>
      </w:r>
    </w:p>
    <w:p>
      <w:pPr>
        <w:spacing w:after="0" w:line="296" w:lineRule="exact"/>
        <w:rPr>
          <w:rFonts w:ascii="Wingdings" w:cs="Wingdings" w:eastAsia="Wingdings" w:hAnsi="Wingdings"/>
          <w:sz w:val="24"/>
          <w:szCs w:val="24"/>
          <w:color w:val="auto"/>
        </w:rPr>
      </w:pPr>
    </w:p>
    <w:p>
      <w:pPr>
        <w:ind w:left="1540" w:hanging="352"/>
        <w:spacing w:after="0"/>
        <w:tabs>
          <w:tab w:leader="none" w:pos="1540" w:val="left"/>
        </w:tabs>
        <w:numPr>
          <w:ilvl w:val="0"/>
          <w:numId w:val="3"/>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BUDAYA PERUSAHAAN</w:t>
      </w:r>
    </w:p>
    <w:p>
      <w:pPr>
        <w:spacing w:after="0" w:line="200" w:lineRule="exact"/>
        <w:rPr>
          <w:rFonts w:ascii="Times New Roman" w:cs="Times New Roman" w:eastAsia="Times New Roman" w:hAnsi="Times New Roman"/>
          <w:sz w:val="24"/>
          <w:szCs w:val="24"/>
          <w:b w:val="1"/>
          <w:bCs w:val="1"/>
          <w:color w:val="auto"/>
        </w:rPr>
      </w:pPr>
    </w:p>
    <w:p>
      <w:pPr>
        <w:spacing w:after="0" w:line="224" w:lineRule="exact"/>
        <w:rPr>
          <w:rFonts w:ascii="Times New Roman" w:cs="Times New Roman" w:eastAsia="Times New Roman" w:hAnsi="Times New Roman"/>
          <w:sz w:val="24"/>
          <w:szCs w:val="24"/>
          <w:b w:val="1"/>
          <w:bCs w:val="1"/>
          <w:color w:val="auto"/>
        </w:rPr>
      </w:pPr>
    </w:p>
    <w:p>
      <w:pPr>
        <w:ind w:left="1540" w:right="270"/>
        <w:spacing w:after="0" w:line="348" w:lineRule="auto"/>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color w:val="auto"/>
        </w:rPr>
        <w:t>Budaya perusahaan yang mendasari perilaku pegawai PT Taspen dalam bekerja meliputi:</w:t>
      </w:r>
    </w:p>
    <w:p>
      <w:pPr>
        <w:spacing w:after="0" w:line="15" w:lineRule="exact"/>
        <w:rPr>
          <w:rFonts w:ascii="Times New Roman" w:cs="Times New Roman" w:eastAsia="Times New Roman" w:hAnsi="Times New Roman"/>
          <w:sz w:val="24"/>
          <w:szCs w:val="24"/>
          <w:b w:val="1"/>
          <w:bCs w:val="1"/>
          <w:color w:val="auto"/>
        </w:rPr>
      </w:pPr>
    </w:p>
    <w:p>
      <w:pPr>
        <w:ind w:left="1900" w:hanging="352"/>
        <w:spacing w:after="0"/>
        <w:tabs>
          <w:tab w:leader="none" w:pos="1900" w:val="left"/>
        </w:tabs>
        <w:numPr>
          <w:ilvl w:val="2"/>
          <w:numId w:val="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Sopan dalam melayani peserta disertai sikap yang ramah.</w:t>
      </w:r>
    </w:p>
    <w:p>
      <w:pPr>
        <w:spacing w:after="0" w:line="148" w:lineRule="exact"/>
        <w:rPr>
          <w:rFonts w:ascii="Times New Roman" w:cs="Times New Roman" w:eastAsia="Times New Roman" w:hAnsi="Times New Roman"/>
          <w:sz w:val="24"/>
          <w:szCs w:val="24"/>
          <w:color w:val="auto"/>
        </w:rPr>
      </w:pPr>
    </w:p>
    <w:p>
      <w:pPr>
        <w:ind w:left="1900" w:right="270" w:hanging="352"/>
        <w:spacing w:after="0" w:line="350" w:lineRule="auto"/>
        <w:tabs>
          <w:tab w:leader="none" w:pos="1900" w:val="left"/>
        </w:tabs>
        <w:numPr>
          <w:ilvl w:val="2"/>
          <w:numId w:val="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Sabar dalam melayani dan memberikan penjelasan kepada peserta walaupun terdapat pertanyaan yang berulang-ulang.</w:t>
      </w:r>
    </w:p>
    <w:p>
      <w:pPr>
        <w:spacing w:after="0" w:line="23" w:lineRule="exact"/>
        <w:rPr>
          <w:rFonts w:ascii="Times New Roman" w:cs="Times New Roman" w:eastAsia="Times New Roman" w:hAnsi="Times New Roman"/>
          <w:sz w:val="24"/>
          <w:szCs w:val="24"/>
          <w:color w:val="auto"/>
        </w:rPr>
      </w:pPr>
    </w:p>
    <w:p>
      <w:pPr>
        <w:ind w:left="1900" w:right="270" w:hanging="352"/>
        <w:spacing w:after="0" w:line="350" w:lineRule="auto"/>
        <w:tabs>
          <w:tab w:leader="none" w:pos="1900" w:val="left"/>
        </w:tabs>
        <w:numPr>
          <w:ilvl w:val="2"/>
          <w:numId w:val="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Manusiawi dalam melayani peserta sesuai dengan harkat dan martabat manusia.</w:t>
      </w:r>
    </w:p>
    <w:p>
      <w:pPr>
        <w:spacing w:after="0" w:line="10" w:lineRule="exact"/>
        <w:rPr>
          <w:rFonts w:ascii="Times New Roman" w:cs="Times New Roman" w:eastAsia="Times New Roman" w:hAnsi="Times New Roman"/>
          <w:sz w:val="24"/>
          <w:szCs w:val="24"/>
          <w:color w:val="auto"/>
        </w:rPr>
      </w:pPr>
    </w:p>
    <w:p>
      <w:pPr>
        <w:ind w:left="1900" w:hanging="352"/>
        <w:spacing w:after="0"/>
        <w:tabs>
          <w:tab w:leader="none" w:pos="1900" w:val="left"/>
        </w:tabs>
        <w:numPr>
          <w:ilvl w:val="2"/>
          <w:numId w:val="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Mudah dalam memberikan pelayanan dan tidak berbelit-belit.</w:t>
      </w:r>
    </w:p>
    <w:p>
      <w:pPr>
        <w:spacing w:after="0" w:line="139" w:lineRule="exact"/>
        <w:rPr>
          <w:rFonts w:ascii="Times New Roman" w:cs="Times New Roman" w:eastAsia="Times New Roman" w:hAnsi="Times New Roman"/>
          <w:sz w:val="24"/>
          <w:szCs w:val="24"/>
          <w:color w:val="auto"/>
        </w:rPr>
      </w:pPr>
    </w:p>
    <w:p>
      <w:pPr>
        <w:ind w:left="1900" w:hanging="352"/>
        <w:spacing w:after="0"/>
        <w:tabs>
          <w:tab w:leader="none" w:pos="1900" w:val="left"/>
        </w:tabs>
        <w:numPr>
          <w:ilvl w:val="2"/>
          <w:numId w:val="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Sederhana dalam kriteria persyaratan yang harus dipenuhi oleh peserta.</w:t>
      </w:r>
    </w:p>
    <w:p>
      <w:pPr>
        <w:spacing w:after="0" w:line="151" w:lineRule="exact"/>
        <w:rPr>
          <w:rFonts w:ascii="Times New Roman" w:cs="Times New Roman" w:eastAsia="Times New Roman" w:hAnsi="Times New Roman"/>
          <w:sz w:val="24"/>
          <w:szCs w:val="24"/>
          <w:color w:val="auto"/>
        </w:rPr>
      </w:pPr>
    </w:p>
    <w:p>
      <w:pPr>
        <w:jc w:val="both"/>
        <w:ind w:left="1900" w:right="270" w:hanging="352"/>
        <w:spacing w:after="0" w:line="354" w:lineRule="auto"/>
        <w:tabs>
          <w:tab w:leader="none" w:pos="1900" w:val="left"/>
        </w:tabs>
        <w:numPr>
          <w:ilvl w:val="2"/>
          <w:numId w:val="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Adanya kemauan dari seluruh jajaran pegawai untuk terus menerus meningkatkan profesionalisme sehingga mampu mengelola aset perusahaan.</w:t>
      </w:r>
    </w:p>
    <w:p>
      <w:pPr>
        <w:spacing w:after="0" w:line="22" w:lineRule="exact"/>
        <w:rPr>
          <w:rFonts w:ascii="Times New Roman" w:cs="Times New Roman" w:eastAsia="Times New Roman" w:hAnsi="Times New Roman"/>
          <w:sz w:val="24"/>
          <w:szCs w:val="24"/>
          <w:color w:val="auto"/>
        </w:rPr>
      </w:pPr>
    </w:p>
    <w:p>
      <w:pPr>
        <w:ind w:left="1900" w:right="270" w:hanging="352"/>
        <w:spacing w:after="0" w:line="348" w:lineRule="auto"/>
        <w:tabs>
          <w:tab w:leader="none" w:pos="1900" w:val="left"/>
        </w:tabs>
        <w:numPr>
          <w:ilvl w:val="2"/>
          <w:numId w:val="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Adanya kemauan yang keras dari seluruh jajaran pegawai untuk meningkatkan pertumbuhan keuangan perusahaan.</w:t>
      </w:r>
    </w:p>
    <w:p>
      <w:pPr>
        <w:sectPr>
          <w:pgSz w:w="11920" w:h="16845" w:orient="portrait"/>
          <w:cols w:equalWidth="0" w:num="1">
            <w:col w:w="9030"/>
          </w:cols>
          <w:pgMar w:left="1440" w:top="1440" w:right="1440" w:bottom="1440" w:gutter="0" w:footer="0" w:header="0"/>
        </w:sectPr>
      </w:pPr>
    </w:p>
    <w:p>
      <w:pPr>
        <w:spacing w:after="0" w:line="259" w:lineRule="exact"/>
        <w:rPr>
          <w:sz w:val="20"/>
          <w:szCs w:val="20"/>
          <w:color w:val="auto"/>
        </w:rPr>
      </w:pPr>
    </w:p>
    <w:p>
      <w:pPr>
        <w:ind w:left="1180"/>
        <w:spacing w:after="0"/>
        <w:rPr>
          <w:sz w:val="20"/>
          <w:szCs w:val="20"/>
          <w:color w:val="auto"/>
        </w:rPr>
      </w:pPr>
      <w:r>
        <w:rPr>
          <w:rFonts w:ascii="Times New Roman" w:cs="Times New Roman" w:eastAsia="Times New Roman" w:hAnsi="Times New Roman"/>
          <w:sz w:val="24"/>
          <w:szCs w:val="24"/>
          <w:b w:val="1"/>
          <w:bCs w:val="1"/>
          <w:color w:val="auto"/>
        </w:rPr>
        <w:t>E. STRUKTUR ORGANISASI</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880745</wp:posOffset>
            </wp:positionH>
            <wp:positionV relativeFrom="paragraph">
              <wp:posOffset>22860</wp:posOffset>
            </wp:positionV>
            <wp:extent cx="4625340" cy="39103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4625340" cy="391033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0" w:lineRule="exact"/>
        <w:rPr>
          <w:sz w:val="20"/>
          <w:szCs w:val="20"/>
          <w:color w:val="auto"/>
        </w:rPr>
      </w:pPr>
    </w:p>
    <w:p>
      <w:pPr>
        <w:jc w:val="both"/>
        <w:ind w:left="1540" w:right="270"/>
        <w:spacing w:after="0" w:line="355" w:lineRule="auto"/>
        <w:rPr>
          <w:sz w:val="20"/>
          <w:szCs w:val="20"/>
          <w:color w:val="auto"/>
        </w:rPr>
      </w:pPr>
      <w:r>
        <w:rPr>
          <w:rFonts w:ascii="Times New Roman" w:cs="Times New Roman" w:eastAsia="Times New Roman" w:hAnsi="Times New Roman"/>
          <w:sz w:val="24"/>
          <w:szCs w:val="24"/>
          <w:color w:val="auto"/>
        </w:rPr>
        <w:t>Jumlah Karyawan Kantor Cabang Yogyakarta seluruhnya adalah 39 (tiga puluh sembilan) karyawan yang terdiri dari 10 (sepuluh) pejabat, 1 (satu) staf Kepala Cabang, dan 28 (dua puluh delapan) pelaksana.</w:t>
      </w:r>
    </w:p>
    <w:p>
      <w:pPr>
        <w:spacing w:after="0" w:line="292" w:lineRule="exact"/>
        <w:rPr>
          <w:sz w:val="20"/>
          <w:szCs w:val="20"/>
          <w:color w:val="auto"/>
        </w:rPr>
      </w:pPr>
    </w:p>
    <w:p>
      <w:pPr>
        <w:ind w:left="820"/>
        <w:spacing w:after="0"/>
        <w:rPr>
          <w:sz w:val="20"/>
          <w:szCs w:val="20"/>
          <w:color w:val="auto"/>
        </w:rPr>
      </w:pPr>
      <w:r>
        <w:rPr>
          <w:rFonts w:ascii="Times New Roman" w:cs="Times New Roman" w:eastAsia="Times New Roman" w:hAnsi="Times New Roman"/>
          <w:sz w:val="24"/>
          <w:szCs w:val="24"/>
          <w:b w:val="1"/>
          <w:bCs w:val="1"/>
          <w:color w:val="auto"/>
        </w:rPr>
        <w:t>F. ANALISIS SWOT PT TASPEN (PERSERO)</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818515</wp:posOffset>
            </wp:positionH>
            <wp:positionV relativeFrom="paragraph">
              <wp:posOffset>102235</wp:posOffset>
            </wp:positionV>
            <wp:extent cx="4784090" cy="28390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4784090" cy="2839085"/>
                    </a:xfrm>
                    <a:prstGeom prst="rect">
                      <a:avLst/>
                    </a:prstGeom>
                    <a:noFill/>
                  </pic:spPr>
                </pic:pic>
              </a:graphicData>
            </a:graphic>
          </wp:anchor>
        </w:drawing>
      </w:r>
    </w:p>
    <w:p>
      <w:pPr>
        <w:sectPr>
          <w:pgSz w:w="11920" w:h="16845" w:orient="portrait"/>
          <w:cols w:equalWidth="0" w:num="1">
            <w:col w:w="9030"/>
          </w:cols>
          <w:pgMar w:left="1440" w:top="1440" w:right="1440" w:bottom="1440" w:gutter="0" w:footer="0" w:header="0"/>
        </w:sectPr>
      </w:pPr>
    </w:p>
    <w:p>
      <w:pPr>
        <w:spacing w:after="0" w:line="254" w:lineRule="exact"/>
        <w:rPr>
          <w:sz w:val="20"/>
          <w:szCs w:val="20"/>
          <w:color w:val="auto"/>
        </w:rPr>
      </w:pPr>
    </w:p>
    <w:p>
      <w:pPr>
        <w:ind w:left="1120"/>
        <w:spacing w:after="0"/>
        <w:rPr>
          <w:sz w:val="20"/>
          <w:szCs w:val="20"/>
          <w:color w:val="auto"/>
        </w:rPr>
      </w:pPr>
      <w:r>
        <w:rPr>
          <w:rFonts w:ascii="Times New Roman" w:cs="Times New Roman" w:eastAsia="Times New Roman" w:hAnsi="Times New Roman"/>
          <w:sz w:val="24"/>
          <w:szCs w:val="24"/>
          <w:u w:val="single" w:color="auto"/>
          <w:color w:val="auto"/>
        </w:rPr>
        <w:t>Keterangan:</w:t>
      </w:r>
    </w:p>
    <w:p>
      <w:pPr>
        <w:spacing w:after="0" w:line="156" w:lineRule="exact"/>
        <w:rPr>
          <w:sz w:val="20"/>
          <w:szCs w:val="20"/>
          <w:color w:val="auto"/>
        </w:rPr>
      </w:pPr>
    </w:p>
    <w:p>
      <w:pPr>
        <w:ind w:left="1900" w:hanging="352"/>
        <w:spacing w:after="0"/>
        <w:tabs>
          <w:tab w:leader="none" w:pos="1900" w:val="left"/>
        </w:tabs>
        <w:numPr>
          <w:ilvl w:val="0"/>
          <w:numId w:val="4"/>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Strenght</w:t>
      </w:r>
    </w:p>
    <w:p>
      <w:pPr>
        <w:spacing w:after="0" w:line="134" w:lineRule="exact"/>
        <w:rPr>
          <w:rFonts w:ascii="Times New Roman" w:cs="Times New Roman" w:eastAsia="Times New Roman" w:hAnsi="Times New Roman"/>
          <w:sz w:val="24"/>
          <w:szCs w:val="24"/>
          <w:b w:val="1"/>
          <w:bCs w:val="1"/>
          <w:color w:val="auto"/>
        </w:rPr>
      </w:pPr>
    </w:p>
    <w:p>
      <w:pPr>
        <w:ind w:left="2620" w:hanging="352"/>
        <w:spacing w:after="0"/>
        <w:tabs>
          <w:tab w:leader="none" w:pos="2620" w:val="left"/>
        </w:tabs>
        <w:numPr>
          <w:ilvl w:val="1"/>
          <w:numId w:val="4"/>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Mitra Terdekat Pemerintah.</w:t>
      </w:r>
    </w:p>
    <w:p>
      <w:pPr>
        <w:spacing w:after="0" w:line="148" w:lineRule="exact"/>
        <w:rPr>
          <w:rFonts w:ascii="Wingdings" w:cs="Wingdings" w:eastAsia="Wingdings" w:hAnsi="Wingdings"/>
          <w:sz w:val="24"/>
          <w:szCs w:val="24"/>
          <w:color w:val="auto"/>
        </w:rPr>
      </w:pPr>
    </w:p>
    <w:p>
      <w:pPr>
        <w:jc w:val="both"/>
        <w:ind w:left="2620" w:right="270"/>
        <w:spacing w:after="0" w:line="358"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Saat ini PT TASPEN (Persero) adalah mitra terdekatPemerintah dalam penyelenggaraan program kesejahteraan para PNS dan Pejabat Negara. Posisi ini menempatkan PT TASPEN (Persero) pada kedudukan strategis sebagai mitra kerja dengan kedekatan yang sangat baik dalam lingkungan Pemerintah pusat maupun daerah dan juga mempunyai nilai tersendiri di mata para PNS, Pejabat Negara dan Lingkup penyelenggara negara lainnya.</w:t>
      </w:r>
    </w:p>
    <w:p>
      <w:pPr>
        <w:spacing w:after="0" w:line="6" w:lineRule="exact"/>
        <w:rPr>
          <w:rFonts w:ascii="Wingdings" w:cs="Wingdings" w:eastAsia="Wingdings" w:hAnsi="Wingdings"/>
          <w:sz w:val="24"/>
          <w:szCs w:val="24"/>
          <w:color w:val="auto"/>
        </w:rPr>
      </w:pPr>
    </w:p>
    <w:p>
      <w:pPr>
        <w:ind w:left="2620" w:hanging="352"/>
        <w:spacing w:after="0"/>
        <w:tabs>
          <w:tab w:leader="none" w:pos="2620" w:val="left"/>
        </w:tabs>
        <w:numPr>
          <w:ilvl w:val="1"/>
          <w:numId w:val="4"/>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Berpengalaman dalam Program Jaminan Sosial PNS.</w:t>
      </w:r>
    </w:p>
    <w:p>
      <w:pPr>
        <w:spacing w:after="0" w:line="151" w:lineRule="exact"/>
        <w:rPr>
          <w:rFonts w:ascii="Wingdings" w:cs="Wingdings" w:eastAsia="Wingdings" w:hAnsi="Wingdings"/>
          <w:sz w:val="24"/>
          <w:szCs w:val="24"/>
          <w:color w:val="auto"/>
        </w:rPr>
      </w:pPr>
    </w:p>
    <w:p>
      <w:pPr>
        <w:jc w:val="both"/>
        <w:ind w:left="2620" w:right="270"/>
        <w:spacing w:after="0" w:line="358"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PT TASPEN (Persero) telah memiliki pengalaman selama lebih dari 50 tahun dalam penyelenggaraan Jaminan Sosial PNS berupa program Pensiun dan THT. Pengalaman yang sangat intensif dan telah berlangsung dalam jangka panjang tersebut menjadikan PT TASPEN (Persero) mengenal karakteristik dari para pelanggannya yaitu para PNS, Pejabat Negara dan lingkup penyelenggara negara lainnya.</w:t>
      </w:r>
    </w:p>
    <w:p>
      <w:pPr>
        <w:spacing w:after="0" w:line="5" w:lineRule="exact"/>
        <w:rPr>
          <w:rFonts w:ascii="Wingdings" w:cs="Wingdings" w:eastAsia="Wingdings" w:hAnsi="Wingdings"/>
          <w:sz w:val="24"/>
          <w:szCs w:val="24"/>
          <w:color w:val="auto"/>
        </w:rPr>
      </w:pPr>
    </w:p>
    <w:p>
      <w:pPr>
        <w:ind w:left="2620" w:hanging="352"/>
        <w:spacing w:after="0"/>
        <w:tabs>
          <w:tab w:leader="none" w:pos="2620" w:val="left"/>
        </w:tabs>
        <w:numPr>
          <w:ilvl w:val="1"/>
          <w:numId w:val="4"/>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Citra PT TASPEN (Persero) sangat Positif.</w:t>
      </w:r>
    </w:p>
    <w:p>
      <w:pPr>
        <w:spacing w:after="0" w:line="151" w:lineRule="exact"/>
        <w:rPr>
          <w:rFonts w:ascii="Wingdings" w:cs="Wingdings" w:eastAsia="Wingdings" w:hAnsi="Wingdings"/>
          <w:sz w:val="24"/>
          <w:szCs w:val="24"/>
          <w:color w:val="auto"/>
        </w:rPr>
      </w:pPr>
    </w:p>
    <w:p>
      <w:pPr>
        <w:jc w:val="both"/>
        <w:ind w:left="2620" w:right="270"/>
        <w:spacing w:after="0" w:line="357"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Sejauh ini citra PT TASPEN (Persero) sangat positif di mata para pesertanya, terbukti dari hasil FGD dan Indepth Interview serta penghargaan yang diperoleh PT TASPEN (Persero) selama ini. PT TASPEN (Persero) sangat terpercaya mengelola Dana Pensiun dan Tabungan Hari Tua, dengan tingkat kepuasan peserta yang tinggi</w:t>
      </w:r>
    </w:p>
    <w:p>
      <w:pPr>
        <w:spacing w:after="0" w:line="8" w:lineRule="exact"/>
        <w:rPr>
          <w:rFonts w:ascii="Wingdings" w:cs="Wingdings" w:eastAsia="Wingdings" w:hAnsi="Wingdings"/>
          <w:sz w:val="24"/>
          <w:szCs w:val="24"/>
          <w:color w:val="auto"/>
        </w:rPr>
      </w:pPr>
    </w:p>
    <w:p>
      <w:pPr>
        <w:ind w:left="2620" w:hanging="352"/>
        <w:spacing w:after="0"/>
        <w:tabs>
          <w:tab w:leader="none" w:pos="2620" w:val="left"/>
        </w:tabs>
        <w:numPr>
          <w:ilvl w:val="1"/>
          <w:numId w:val="4"/>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Kepesertaan yang Besar.</w:t>
      </w:r>
    </w:p>
    <w:p>
      <w:pPr>
        <w:spacing w:after="0" w:line="148" w:lineRule="exact"/>
        <w:rPr>
          <w:rFonts w:ascii="Wingdings" w:cs="Wingdings" w:eastAsia="Wingdings" w:hAnsi="Wingdings"/>
          <w:sz w:val="24"/>
          <w:szCs w:val="24"/>
          <w:color w:val="auto"/>
        </w:rPr>
      </w:pPr>
    </w:p>
    <w:p>
      <w:pPr>
        <w:jc w:val="both"/>
        <w:ind w:left="2620" w:right="270"/>
        <w:spacing w:after="0" w:line="356"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PT TASPEN (Persero) memiliki kepesertaan yang besar yaitu sekitar 4,3 juta PNS aktif dan 2,4 juta Pensiunan PNS. Jumlah kepesertaan yang sangat besar tersebut merupakan customer base yang kuat dan dapat digarap menjadi value bagi</w:t>
      </w:r>
    </w:p>
    <w:p>
      <w:pPr>
        <w:sectPr>
          <w:pgSz w:w="11920" w:h="16845" w:orient="portrait"/>
          <w:cols w:equalWidth="0" w:num="1">
            <w:col w:w="9030"/>
          </w:cols>
          <w:pgMar w:left="1440" w:top="1440" w:right="1440" w:bottom="1440" w:gutter="0" w:footer="0" w:header="0"/>
        </w:sectPr>
      </w:pPr>
    </w:p>
    <w:p>
      <w:pPr>
        <w:spacing w:after="0" w:line="266" w:lineRule="exact"/>
        <w:rPr>
          <w:sz w:val="20"/>
          <w:szCs w:val="20"/>
          <w:color w:val="auto"/>
        </w:rPr>
      </w:pPr>
    </w:p>
    <w:p>
      <w:pPr>
        <w:ind w:left="2620" w:right="270"/>
        <w:spacing w:after="0" w:line="348" w:lineRule="auto"/>
        <w:rPr>
          <w:sz w:val="20"/>
          <w:szCs w:val="20"/>
          <w:color w:val="auto"/>
        </w:rPr>
      </w:pPr>
      <w:r>
        <w:rPr>
          <w:rFonts w:ascii="Times New Roman" w:cs="Times New Roman" w:eastAsia="Times New Roman" w:hAnsi="Times New Roman"/>
          <w:sz w:val="24"/>
          <w:szCs w:val="24"/>
          <w:color w:val="auto"/>
        </w:rPr>
        <w:t>perusahaan dengan melalui program dan layanan yang lebih inovatif.</w:t>
      </w:r>
    </w:p>
    <w:p>
      <w:pPr>
        <w:spacing w:after="0" w:line="16" w:lineRule="exact"/>
        <w:rPr>
          <w:sz w:val="20"/>
          <w:szCs w:val="20"/>
          <w:color w:val="auto"/>
        </w:rPr>
      </w:pPr>
    </w:p>
    <w:p>
      <w:pPr>
        <w:ind w:left="2620" w:hanging="352"/>
        <w:spacing w:after="0"/>
        <w:tabs>
          <w:tab w:leader="none" w:pos="2620" w:val="left"/>
        </w:tabs>
        <w:numPr>
          <w:ilvl w:val="0"/>
          <w:numId w:val="5"/>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Jaringan Kantor Cabang.</w:t>
      </w:r>
    </w:p>
    <w:p>
      <w:pPr>
        <w:spacing w:after="0" w:line="148" w:lineRule="exact"/>
        <w:rPr>
          <w:rFonts w:ascii="Wingdings" w:cs="Wingdings" w:eastAsia="Wingdings" w:hAnsi="Wingdings"/>
          <w:sz w:val="24"/>
          <w:szCs w:val="24"/>
          <w:color w:val="auto"/>
        </w:rPr>
      </w:pPr>
    </w:p>
    <w:p>
      <w:pPr>
        <w:jc w:val="both"/>
        <w:ind w:left="2620" w:right="270"/>
        <w:spacing w:after="0" w:line="357"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Saat ini PT TASPEN (Persero) memiliki 48 Kantor Cabang yang tersebar diseluruh Indonesia. Berbekal jejaring kantor cabang yang telah mampu menjangkau seluruh Pemda di Indonesia ini maka dapat menjadi sarana dan prasarana bagi PT TASPEN (Persero) dalam menggarap pasarnya.</w:t>
      </w:r>
    </w:p>
    <w:p>
      <w:pPr>
        <w:spacing w:after="0" w:line="6" w:lineRule="exact"/>
        <w:rPr>
          <w:rFonts w:ascii="Wingdings" w:cs="Wingdings" w:eastAsia="Wingdings" w:hAnsi="Wingdings"/>
          <w:sz w:val="24"/>
          <w:szCs w:val="24"/>
          <w:color w:val="auto"/>
        </w:rPr>
      </w:pPr>
    </w:p>
    <w:p>
      <w:pPr>
        <w:ind w:left="2620" w:hanging="352"/>
        <w:spacing w:after="0"/>
        <w:tabs>
          <w:tab w:leader="none" w:pos="2620" w:val="left"/>
        </w:tabs>
        <w:numPr>
          <w:ilvl w:val="0"/>
          <w:numId w:val="5"/>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Jaringan Mitra Bayar yang Luas.</w:t>
      </w:r>
    </w:p>
    <w:p>
      <w:pPr>
        <w:spacing w:after="0" w:line="149" w:lineRule="exact"/>
        <w:rPr>
          <w:sz w:val="20"/>
          <w:szCs w:val="20"/>
          <w:color w:val="auto"/>
        </w:rPr>
      </w:pPr>
    </w:p>
    <w:p>
      <w:pPr>
        <w:jc w:val="both"/>
        <w:ind w:left="2620" w:right="270" w:firstLine="60"/>
        <w:spacing w:after="0" w:line="358" w:lineRule="auto"/>
        <w:rPr>
          <w:sz w:val="20"/>
          <w:szCs w:val="20"/>
          <w:color w:val="auto"/>
        </w:rPr>
      </w:pPr>
      <w:r>
        <w:rPr>
          <w:rFonts w:ascii="Times New Roman" w:cs="Times New Roman" w:eastAsia="Times New Roman" w:hAnsi="Times New Roman"/>
          <w:sz w:val="24"/>
          <w:szCs w:val="24"/>
          <w:color w:val="auto"/>
        </w:rPr>
        <w:t>PT TASPEN (Persero) telah bekerja sama dengan mitra bayar manfaat pensiun dari kalangan Perbankan dan Pos Indonesia sejumlah 45 mitra bayar dan dengan total sekitar 11.000 titik layanan yang tersebar diseluruh Indonesia. Bersama dengan jaringan mitra bayar ini telah dibentuk kerjasama office channeling dimana mitra bayar disamping membayar pensiun juga dapat memberikan layanan dan informasi kepada peserta PT TASPEN (Persero), baik peserta yang masih aktif maupun yang telah pensiun.</w:t>
      </w:r>
    </w:p>
    <w:p>
      <w:pPr>
        <w:spacing w:after="0" w:line="10" w:lineRule="exact"/>
        <w:rPr>
          <w:sz w:val="20"/>
          <w:szCs w:val="20"/>
          <w:color w:val="auto"/>
        </w:rPr>
      </w:pPr>
    </w:p>
    <w:p>
      <w:pPr>
        <w:ind w:left="2620" w:hanging="352"/>
        <w:spacing w:after="0"/>
        <w:tabs>
          <w:tab w:leader="none" w:pos="2620" w:val="left"/>
        </w:tabs>
        <w:numPr>
          <w:ilvl w:val="0"/>
          <w:numId w:val="6"/>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Inovasi TI Menjawab Kebutuhan Bisnis.</w:t>
      </w:r>
    </w:p>
    <w:p>
      <w:pPr>
        <w:spacing w:after="0" w:line="151" w:lineRule="exact"/>
        <w:rPr>
          <w:rFonts w:ascii="Wingdings" w:cs="Wingdings" w:eastAsia="Wingdings" w:hAnsi="Wingdings"/>
          <w:sz w:val="24"/>
          <w:szCs w:val="24"/>
          <w:color w:val="auto"/>
        </w:rPr>
      </w:pPr>
    </w:p>
    <w:p>
      <w:pPr>
        <w:jc w:val="both"/>
        <w:ind w:left="2620" w:right="270"/>
        <w:spacing w:after="0" w:line="358"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 xml:space="preserve">PT TASPEN (Persero) melakukan Inovasi dan Pengembangan TI yang berkelanjutan sehingga menciptakan Tools yang memudahkan dalam proses bisnis antara lain penerapan e-klim, e-Dapem, dan e-Karip, SIMGAJI dll. Dengan TI SIMGAJI tersebut PT TASPEN (Persero) melakukan konektivitas secara </w:t>
      </w:r>
      <w:r>
        <w:rPr>
          <w:rFonts w:ascii="Times New Roman" w:cs="Times New Roman" w:eastAsia="Times New Roman" w:hAnsi="Times New Roman"/>
          <w:sz w:val="24"/>
          <w:szCs w:val="24"/>
          <w:i w:val="1"/>
          <w:iCs w:val="1"/>
          <w:color w:val="auto"/>
        </w:rPr>
        <w:t xml:space="preserve">online </w:t>
      </w:r>
      <w:r>
        <w:rPr>
          <w:rFonts w:ascii="Times New Roman" w:cs="Times New Roman" w:eastAsia="Times New Roman" w:hAnsi="Times New Roman"/>
          <w:sz w:val="24"/>
          <w:szCs w:val="24"/>
          <w:color w:val="auto"/>
        </w:rPr>
        <w:t>terhadap 98 BKD dan BKN, sehingga data</w:t>
      </w:r>
      <w:r>
        <w:rPr>
          <w:rFonts w:ascii="Times New Roman" w:cs="Times New Roman" w:eastAsia="Times New Roman" w:hAnsi="Times New Roman"/>
          <w:sz w:val="24"/>
          <w:szCs w:val="24"/>
          <w:i w:val="1"/>
          <w:iCs w:val="1"/>
          <w:color w:val="auto"/>
        </w:rPr>
        <w:t xml:space="preserve"> up to date </w:t>
      </w:r>
      <w:r>
        <w:rPr>
          <w:rFonts w:ascii="Times New Roman" w:cs="Times New Roman" w:eastAsia="Times New Roman" w:hAnsi="Times New Roman"/>
          <w:sz w:val="24"/>
          <w:szCs w:val="24"/>
          <w:color w:val="auto"/>
        </w:rPr>
        <w:t>dan memudahkan proses pengelolaan Program THT &amp; Pensiun</w:t>
      </w:r>
    </w:p>
    <w:p>
      <w:pPr>
        <w:spacing w:after="0" w:line="3" w:lineRule="exact"/>
        <w:rPr>
          <w:rFonts w:ascii="Wingdings" w:cs="Wingdings" w:eastAsia="Wingdings" w:hAnsi="Wingdings"/>
          <w:sz w:val="24"/>
          <w:szCs w:val="24"/>
          <w:color w:val="auto"/>
        </w:rPr>
      </w:pPr>
    </w:p>
    <w:p>
      <w:pPr>
        <w:ind w:left="2620" w:hanging="352"/>
        <w:spacing w:after="0"/>
        <w:tabs>
          <w:tab w:leader="none" w:pos="2620" w:val="left"/>
        </w:tabs>
        <w:numPr>
          <w:ilvl w:val="0"/>
          <w:numId w:val="6"/>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 xml:space="preserve">Proses Pelayanan yang Cepat, Proaktif &amp; </w:t>
      </w:r>
      <w:r>
        <w:rPr>
          <w:rFonts w:ascii="Times New Roman" w:cs="Times New Roman" w:eastAsia="Times New Roman" w:hAnsi="Times New Roman"/>
          <w:sz w:val="24"/>
          <w:szCs w:val="24"/>
          <w:i w:val="1"/>
          <w:iCs w:val="1"/>
          <w:color w:val="auto"/>
        </w:rPr>
        <w:t>Personalised</w:t>
      </w:r>
      <w:r>
        <w:rPr>
          <w:rFonts w:ascii="Times New Roman" w:cs="Times New Roman" w:eastAsia="Times New Roman" w:hAnsi="Times New Roman"/>
          <w:sz w:val="24"/>
          <w:szCs w:val="24"/>
          <w:color w:val="auto"/>
        </w:rPr>
        <w:t>.</w:t>
      </w:r>
    </w:p>
    <w:p>
      <w:pPr>
        <w:spacing w:after="0" w:line="151" w:lineRule="exact"/>
        <w:rPr>
          <w:rFonts w:ascii="Wingdings" w:cs="Wingdings" w:eastAsia="Wingdings" w:hAnsi="Wingdings"/>
          <w:sz w:val="24"/>
          <w:szCs w:val="24"/>
          <w:color w:val="auto"/>
        </w:rPr>
      </w:pPr>
    </w:p>
    <w:p>
      <w:pPr>
        <w:jc w:val="both"/>
        <w:ind w:left="2620" w:right="270"/>
        <w:spacing w:after="0" w:line="357"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 xml:space="preserve">Proses Pelayanan yang cepat, proaktif &amp; </w:t>
      </w:r>
      <w:r>
        <w:rPr>
          <w:rFonts w:ascii="Times New Roman" w:cs="Times New Roman" w:eastAsia="Times New Roman" w:hAnsi="Times New Roman"/>
          <w:sz w:val="24"/>
          <w:szCs w:val="24"/>
          <w:i w:val="1"/>
          <w:iCs w:val="1"/>
          <w:color w:val="auto"/>
        </w:rPr>
        <w:t>personalised</w:t>
      </w:r>
      <w:r>
        <w:rPr>
          <w:rFonts w:ascii="Times New Roman" w:cs="Times New Roman" w:eastAsia="Times New Roman" w:hAnsi="Times New Roman"/>
          <w:sz w:val="24"/>
          <w:szCs w:val="24"/>
          <w:color w:val="auto"/>
        </w:rPr>
        <w:t xml:space="preserve"> misalnya berupa penyelesaian klim menjadi 1 titik layanan, Formulir sederhana, SPP langsung dalam 1 jam, pelayanan proaktif ke pensiunan yang tua/sakit, Mobil Layanan TASPEN (Motas) dan inovasi pelayanan lainnya.</w:t>
      </w:r>
    </w:p>
    <w:p>
      <w:pPr>
        <w:sectPr>
          <w:pgSz w:w="11920" w:h="16845" w:orient="portrait"/>
          <w:cols w:equalWidth="0" w:num="1">
            <w:col w:w="9030"/>
          </w:cols>
          <w:pgMar w:left="1440" w:top="1440" w:right="1440" w:bottom="1440" w:gutter="0" w:footer="0" w:header="0"/>
        </w:sectPr>
      </w:pPr>
    </w:p>
    <w:p>
      <w:pPr>
        <w:spacing w:after="0" w:line="254" w:lineRule="exact"/>
        <w:rPr>
          <w:sz w:val="20"/>
          <w:szCs w:val="20"/>
          <w:color w:val="auto"/>
        </w:rPr>
      </w:pPr>
    </w:p>
    <w:p>
      <w:pPr>
        <w:ind w:left="2620" w:hanging="352"/>
        <w:spacing w:after="0"/>
        <w:tabs>
          <w:tab w:leader="none" w:pos="2620" w:val="left"/>
        </w:tabs>
        <w:numPr>
          <w:ilvl w:val="0"/>
          <w:numId w:val="7"/>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Dana Kelolaan yang besar.</w:t>
      </w:r>
    </w:p>
    <w:p>
      <w:pPr>
        <w:spacing w:after="0" w:line="149" w:lineRule="exact"/>
        <w:rPr>
          <w:sz w:val="20"/>
          <w:szCs w:val="20"/>
          <w:color w:val="auto"/>
        </w:rPr>
      </w:pPr>
    </w:p>
    <w:p>
      <w:pPr>
        <w:jc w:val="both"/>
        <w:ind w:left="2620" w:right="270" w:firstLine="60"/>
        <w:spacing w:after="0" w:line="356" w:lineRule="auto"/>
        <w:rPr>
          <w:sz w:val="20"/>
          <w:szCs w:val="20"/>
          <w:color w:val="auto"/>
        </w:rPr>
      </w:pPr>
      <w:r>
        <w:rPr>
          <w:rFonts w:ascii="Times New Roman" w:cs="Times New Roman" w:eastAsia="Times New Roman" w:hAnsi="Times New Roman"/>
          <w:sz w:val="24"/>
          <w:szCs w:val="24"/>
          <w:color w:val="auto"/>
        </w:rPr>
        <w:t>Dana Jaminan Sosial PNS yang dikelola PT TASPEN (Persero) cukup besar yatu sekitar Rp 140 triliun terdiri dari aset program THT sekitar Rp 80 triliun dan aset program Pensiun sekitar Rp 60 triliun.</w:t>
      </w:r>
    </w:p>
    <w:p>
      <w:pPr>
        <w:spacing w:after="0" w:line="11" w:lineRule="exact"/>
        <w:rPr>
          <w:sz w:val="20"/>
          <w:szCs w:val="20"/>
          <w:color w:val="auto"/>
        </w:rPr>
      </w:pPr>
    </w:p>
    <w:p>
      <w:pPr>
        <w:ind w:left="1900" w:hanging="352"/>
        <w:spacing w:after="0"/>
        <w:tabs>
          <w:tab w:leader="none" w:pos="1900" w:val="left"/>
        </w:tabs>
        <w:numPr>
          <w:ilvl w:val="0"/>
          <w:numId w:val="8"/>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Weaknesses (Kelemahan)</w:t>
      </w:r>
    </w:p>
    <w:p>
      <w:pPr>
        <w:spacing w:after="0" w:line="134" w:lineRule="exact"/>
        <w:rPr>
          <w:rFonts w:ascii="Times New Roman" w:cs="Times New Roman" w:eastAsia="Times New Roman" w:hAnsi="Times New Roman"/>
          <w:sz w:val="24"/>
          <w:szCs w:val="24"/>
          <w:b w:val="1"/>
          <w:bCs w:val="1"/>
          <w:color w:val="auto"/>
        </w:rPr>
      </w:pPr>
    </w:p>
    <w:p>
      <w:pPr>
        <w:ind w:left="2620" w:hanging="352"/>
        <w:spacing w:after="0"/>
        <w:tabs>
          <w:tab w:leader="none" w:pos="2620" w:val="left"/>
        </w:tabs>
        <w:numPr>
          <w:ilvl w:val="1"/>
          <w:numId w:val="8"/>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Program Masih Terbatas.</w:t>
      </w:r>
    </w:p>
    <w:p>
      <w:pPr>
        <w:spacing w:after="0" w:line="148" w:lineRule="exact"/>
        <w:rPr>
          <w:rFonts w:ascii="Wingdings" w:cs="Wingdings" w:eastAsia="Wingdings" w:hAnsi="Wingdings"/>
          <w:sz w:val="24"/>
          <w:szCs w:val="24"/>
          <w:color w:val="auto"/>
        </w:rPr>
      </w:pPr>
    </w:p>
    <w:p>
      <w:pPr>
        <w:ind w:left="2620" w:right="270"/>
        <w:spacing w:after="0" w:line="350"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Program yang tersedia masih terbatas yaitu THT dan Pensiun mengikuti perundangan yang berlaku.</w:t>
      </w:r>
    </w:p>
    <w:p>
      <w:pPr>
        <w:spacing w:after="0" w:line="10" w:lineRule="exact"/>
        <w:rPr>
          <w:rFonts w:ascii="Wingdings" w:cs="Wingdings" w:eastAsia="Wingdings" w:hAnsi="Wingdings"/>
          <w:sz w:val="24"/>
          <w:szCs w:val="24"/>
          <w:color w:val="auto"/>
        </w:rPr>
      </w:pPr>
    </w:p>
    <w:p>
      <w:pPr>
        <w:ind w:left="2620" w:hanging="352"/>
        <w:spacing w:after="0"/>
        <w:tabs>
          <w:tab w:leader="none" w:pos="2620" w:val="left"/>
        </w:tabs>
        <w:numPr>
          <w:ilvl w:val="1"/>
          <w:numId w:val="8"/>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Pembuatan Program Baru Terbatas.</w:t>
      </w:r>
    </w:p>
    <w:p>
      <w:pPr>
        <w:spacing w:after="0" w:line="151" w:lineRule="exact"/>
        <w:rPr>
          <w:rFonts w:ascii="Wingdings" w:cs="Wingdings" w:eastAsia="Wingdings" w:hAnsi="Wingdings"/>
          <w:sz w:val="24"/>
          <w:szCs w:val="24"/>
          <w:color w:val="auto"/>
        </w:rPr>
      </w:pPr>
    </w:p>
    <w:p>
      <w:pPr>
        <w:ind w:left="2620" w:right="270"/>
        <w:spacing w:after="0" w:line="348"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Keleluasan membuat program baru masih terbatas pada peraturan terkait program THT dan Pensiun.</w:t>
      </w:r>
    </w:p>
    <w:p>
      <w:pPr>
        <w:spacing w:after="0" w:line="15" w:lineRule="exact"/>
        <w:rPr>
          <w:rFonts w:ascii="Wingdings" w:cs="Wingdings" w:eastAsia="Wingdings" w:hAnsi="Wingdings"/>
          <w:sz w:val="24"/>
          <w:szCs w:val="24"/>
          <w:color w:val="auto"/>
        </w:rPr>
      </w:pPr>
    </w:p>
    <w:p>
      <w:pPr>
        <w:ind w:left="2620" w:hanging="352"/>
        <w:spacing w:after="0"/>
        <w:tabs>
          <w:tab w:leader="none" w:pos="2620" w:val="left"/>
        </w:tabs>
        <w:numPr>
          <w:ilvl w:val="1"/>
          <w:numId w:val="8"/>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Aset Liability Management Belum Best Practice.</w:t>
      </w:r>
    </w:p>
    <w:p>
      <w:pPr>
        <w:spacing w:after="0" w:line="148" w:lineRule="exact"/>
        <w:rPr>
          <w:rFonts w:ascii="Wingdings" w:cs="Wingdings" w:eastAsia="Wingdings" w:hAnsi="Wingdings"/>
          <w:sz w:val="24"/>
          <w:szCs w:val="24"/>
          <w:color w:val="auto"/>
        </w:rPr>
      </w:pPr>
    </w:p>
    <w:p>
      <w:pPr>
        <w:ind w:left="2620" w:right="270"/>
        <w:spacing w:after="0" w:line="350"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Belum melaksanakan Asset Liability Management sesuai Best Practice dan masih dikendalikan Pemerintah dan bukan pasar.</w:t>
      </w:r>
    </w:p>
    <w:p>
      <w:pPr>
        <w:spacing w:after="0" w:line="10" w:lineRule="exact"/>
        <w:rPr>
          <w:rFonts w:ascii="Wingdings" w:cs="Wingdings" w:eastAsia="Wingdings" w:hAnsi="Wingdings"/>
          <w:sz w:val="24"/>
          <w:szCs w:val="24"/>
          <w:color w:val="auto"/>
        </w:rPr>
      </w:pPr>
    </w:p>
    <w:p>
      <w:pPr>
        <w:ind w:left="2620" w:hanging="352"/>
        <w:spacing w:after="0"/>
        <w:tabs>
          <w:tab w:leader="none" w:pos="2620" w:val="left"/>
        </w:tabs>
        <w:numPr>
          <w:ilvl w:val="1"/>
          <w:numId w:val="8"/>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Penguasaan Penggunaan Teknologi Baru Belum Optimal.</w:t>
      </w:r>
    </w:p>
    <w:p>
      <w:pPr>
        <w:spacing w:after="0" w:line="151" w:lineRule="exact"/>
        <w:rPr>
          <w:rFonts w:ascii="Wingdings" w:cs="Wingdings" w:eastAsia="Wingdings" w:hAnsi="Wingdings"/>
          <w:sz w:val="24"/>
          <w:szCs w:val="24"/>
          <w:color w:val="auto"/>
        </w:rPr>
      </w:pPr>
    </w:p>
    <w:p>
      <w:pPr>
        <w:ind w:left="2620" w:right="270"/>
        <w:spacing w:after="0" w:line="348"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Saat ini teknologi yang tersedia belum didayagunakan secara optimal.</w:t>
      </w:r>
    </w:p>
    <w:p>
      <w:pPr>
        <w:spacing w:after="0" w:line="27" w:lineRule="exact"/>
        <w:rPr>
          <w:rFonts w:ascii="Wingdings" w:cs="Wingdings" w:eastAsia="Wingdings" w:hAnsi="Wingdings"/>
          <w:sz w:val="24"/>
          <w:szCs w:val="24"/>
          <w:color w:val="auto"/>
        </w:rPr>
      </w:pPr>
    </w:p>
    <w:p>
      <w:pPr>
        <w:ind w:left="2620" w:right="270" w:hanging="352"/>
        <w:spacing w:after="0" w:line="350" w:lineRule="auto"/>
        <w:tabs>
          <w:tab w:leader="none" w:pos="2620" w:val="left"/>
        </w:tabs>
        <w:numPr>
          <w:ilvl w:val="1"/>
          <w:numId w:val="8"/>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Program Advokasi &amp; Kampanye Komunikasi masih perlu diperkuat.</w:t>
      </w:r>
    </w:p>
    <w:p>
      <w:pPr>
        <w:spacing w:after="0" w:line="23" w:lineRule="exact"/>
        <w:rPr>
          <w:rFonts w:ascii="Wingdings" w:cs="Wingdings" w:eastAsia="Wingdings" w:hAnsi="Wingdings"/>
          <w:sz w:val="24"/>
          <w:szCs w:val="24"/>
          <w:color w:val="auto"/>
        </w:rPr>
      </w:pPr>
    </w:p>
    <w:p>
      <w:pPr>
        <w:jc w:val="both"/>
        <w:ind w:left="2620" w:right="270"/>
        <w:spacing w:after="0" w:line="354"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Belum memiliki program advokasi dan communication campaign yang intensif dalam memperkuat posisi PT TASPEN (Persero).</w:t>
      </w:r>
    </w:p>
    <w:p>
      <w:pPr>
        <w:spacing w:after="0" w:line="9" w:lineRule="exact"/>
        <w:rPr>
          <w:rFonts w:ascii="Wingdings" w:cs="Wingdings" w:eastAsia="Wingdings" w:hAnsi="Wingdings"/>
          <w:sz w:val="24"/>
          <w:szCs w:val="24"/>
          <w:color w:val="auto"/>
        </w:rPr>
      </w:pPr>
    </w:p>
    <w:p>
      <w:pPr>
        <w:ind w:left="2620" w:hanging="352"/>
        <w:spacing w:after="0"/>
        <w:tabs>
          <w:tab w:leader="none" w:pos="2620" w:val="left"/>
        </w:tabs>
        <w:numPr>
          <w:ilvl w:val="1"/>
          <w:numId w:val="8"/>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Service Based Corporate Culture.</w:t>
      </w:r>
    </w:p>
    <w:p>
      <w:pPr>
        <w:spacing w:after="0" w:line="148" w:lineRule="exact"/>
        <w:rPr>
          <w:rFonts w:ascii="Wingdings" w:cs="Wingdings" w:eastAsia="Wingdings" w:hAnsi="Wingdings"/>
          <w:sz w:val="24"/>
          <w:szCs w:val="24"/>
          <w:color w:val="auto"/>
        </w:rPr>
      </w:pPr>
    </w:p>
    <w:p>
      <w:pPr>
        <w:jc w:val="both"/>
        <w:ind w:left="2620" w:right="270"/>
        <w:spacing w:after="0" w:line="354"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Corporate Culture berdasarkan service based memenuhi kewajiban sebagai juru bayar sehingga belum menerapkan “competitive service based”.</w:t>
      </w:r>
    </w:p>
    <w:p>
      <w:pPr>
        <w:spacing w:after="0" w:line="9" w:lineRule="exact"/>
        <w:rPr>
          <w:rFonts w:ascii="Wingdings" w:cs="Wingdings" w:eastAsia="Wingdings" w:hAnsi="Wingdings"/>
          <w:sz w:val="24"/>
          <w:szCs w:val="24"/>
          <w:color w:val="auto"/>
        </w:rPr>
      </w:pPr>
    </w:p>
    <w:p>
      <w:pPr>
        <w:ind w:left="2620" w:hanging="352"/>
        <w:spacing w:after="0"/>
        <w:tabs>
          <w:tab w:leader="none" w:pos="2620" w:val="left"/>
        </w:tabs>
        <w:numPr>
          <w:ilvl w:val="1"/>
          <w:numId w:val="8"/>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Bargaining Position Masih Lemah.</w:t>
      </w:r>
    </w:p>
    <w:p>
      <w:pPr>
        <w:spacing w:after="0" w:line="148" w:lineRule="exact"/>
        <w:rPr>
          <w:rFonts w:ascii="Wingdings" w:cs="Wingdings" w:eastAsia="Wingdings" w:hAnsi="Wingdings"/>
          <w:sz w:val="24"/>
          <w:szCs w:val="24"/>
          <w:color w:val="auto"/>
        </w:rPr>
      </w:pPr>
    </w:p>
    <w:p>
      <w:pPr>
        <w:ind w:left="2620" w:right="270"/>
        <w:spacing w:after="0" w:line="350"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Belum memiliki pengaruh yang kuat untuk memacu Pemda membayar kewajiban tepat waktu.</w:t>
      </w:r>
    </w:p>
    <w:p>
      <w:pPr>
        <w:spacing w:after="0" w:line="23" w:lineRule="exact"/>
        <w:rPr>
          <w:rFonts w:ascii="Wingdings" w:cs="Wingdings" w:eastAsia="Wingdings" w:hAnsi="Wingdings"/>
          <w:sz w:val="24"/>
          <w:szCs w:val="24"/>
          <w:color w:val="auto"/>
        </w:rPr>
      </w:pPr>
    </w:p>
    <w:p>
      <w:pPr>
        <w:ind w:left="2620" w:right="270" w:hanging="352"/>
        <w:spacing w:after="0" w:line="350" w:lineRule="auto"/>
        <w:tabs>
          <w:tab w:leader="none" w:pos="2620" w:val="left"/>
        </w:tabs>
        <w:numPr>
          <w:ilvl w:val="1"/>
          <w:numId w:val="8"/>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Program Sosialisasi dan Komunikasi Pelanggan masih perlu diperkuat.</w:t>
      </w:r>
    </w:p>
    <w:p>
      <w:pPr>
        <w:sectPr>
          <w:pgSz w:w="11920" w:h="16845" w:orient="portrait"/>
          <w:cols w:equalWidth="0" w:num="1">
            <w:col w:w="9030"/>
          </w:cols>
          <w:pgMar w:left="1440" w:top="1440" w:right="1440" w:bottom="1440" w:gutter="0" w:footer="0" w:header="0"/>
        </w:sectPr>
      </w:pPr>
    </w:p>
    <w:p>
      <w:pPr>
        <w:spacing w:after="0" w:line="266" w:lineRule="exact"/>
        <w:rPr>
          <w:sz w:val="20"/>
          <w:szCs w:val="20"/>
          <w:color w:val="auto"/>
        </w:rPr>
      </w:pPr>
    </w:p>
    <w:p>
      <w:pPr>
        <w:jc w:val="both"/>
        <w:ind w:left="2620" w:right="270"/>
        <w:spacing w:after="0" w:line="357" w:lineRule="auto"/>
        <w:rPr>
          <w:sz w:val="20"/>
          <w:szCs w:val="20"/>
          <w:color w:val="auto"/>
        </w:rPr>
      </w:pPr>
      <w:r>
        <w:rPr>
          <w:rFonts w:ascii="Times New Roman" w:cs="Times New Roman" w:eastAsia="Times New Roman" w:hAnsi="Times New Roman"/>
          <w:sz w:val="24"/>
          <w:szCs w:val="24"/>
          <w:color w:val="auto"/>
        </w:rPr>
        <w:t>PT TASPEN (Persero) masih kurang kuat dalam melakukan sosialisasi sehingga peserta belum sepenuhnya memahami hak dan kewajibannya. Komunikasi langsung kepada pelanggan belum dapat dilakukan karena akses ke pelanggan masih harus via BKD dan BKN.</w:t>
      </w:r>
    </w:p>
    <w:p>
      <w:pPr>
        <w:spacing w:after="0" w:line="9" w:lineRule="exact"/>
        <w:rPr>
          <w:sz w:val="20"/>
          <w:szCs w:val="20"/>
          <w:color w:val="auto"/>
        </w:rPr>
      </w:pPr>
    </w:p>
    <w:p>
      <w:pPr>
        <w:ind w:left="1900" w:hanging="352"/>
        <w:spacing w:after="0"/>
        <w:tabs>
          <w:tab w:leader="none" w:pos="1900" w:val="left"/>
        </w:tabs>
        <w:numPr>
          <w:ilvl w:val="0"/>
          <w:numId w:val="9"/>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Opportunities (Kesempatan)</w:t>
      </w:r>
    </w:p>
    <w:p>
      <w:pPr>
        <w:spacing w:after="0" w:line="134" w:lineRule="exact"/>
        <w:rPr>
          <w:rFonts w:ascii="Times New Roman" w:cs="Times New Roman" w:eastAsia="Times New Roman" w:hAnsi="Times New Roman"/>
          <w:sz w:val="24"/>
          <w:szCs w:val="24"/>
          <w:b w:val="1"/>
          <w:bCs w:val="1"/>
          <w:color w:val="auto"/>
        </w:rPr>
      </w:pPr>
    </w:p>
    <w:p>
      <w:pPr>
        <w:ind w:left="2620" w:hanging="352"/>
        <w:spacing w:after="0"/>
        <w:tabs>
          <w:tab w:leader="none" w:pos="2620" w:val="left"/>
        </w:tabs>
        <w:numPr>
          <w:ilvl w:val="1"/>
          <w:numId w:val="9"/>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UU ASN.</w:t>
      </w:r>
    </w:p>
    <w:p>
      <w:pPr>
        <w:spacing w:after="0" w:line="149" w:lineRule="exact"/>
        <w:rPr>
          <w:sz w:val="20"/>
          <w:szCs w:val="20"/>
          <w:color w:val="auto"/>
        </w:rPr>
      </w:pPr>
    </w:p>
    <w:p>
      <w:pPr>
        <w:ind w:left="2620" w:right="270" w:firstLine="60"/>
        <w:spacing w:after="0" w:line="350" w:lineRule="auto"/>
        <w:rPr>
          <w:sz w:val="20"/>
          <w:szCs w:val="20"/>
          <w:color w:val="auto"/>
        </w:rPr>
      </w:pPr>
      <w:r>
        <w:rPr>
          <w:rFonts w:ascii="Times New Roman" w:cs="Times New Roman" w:eastAsia="Times New Roman" w:hAnsi="Times New Roman"/>
          <w:sz w:val="24"/>
          <w:szCs w:val="24"/>
          <w:color w:val="auto"/>
        </w:rPr>
        <w:t>Amanat UU ASN disamping program JHT, Pensiun, JKK dan JKm</w:t>
      </w:r>
    </w:p>
    <w:p>
      <w:pPr>
        <w:spacing w:after="0" w:line="11" w:lineRule="exact"/>
        <w:rPr>
          <w:sz w:val="20"/>
          <w:szCs w:val="20"/>
          <w:color w:val="auto"/>
        </w:rPr>
      </w:pPr>
    </w:p>
    <w:p>
      <w:pPr>
        <w:ind w:left="2620" w:hanging="352"/>
        <w:spacing w:after="0"/>
        <w:tabs>
          <w:tab w:leader="none" w:pos="2620" w:val="left"/>
        </w:tabs>
        <w:numPr>
          <w:ilvl w:val="1"/>
          <w:numId w:val="10"/>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Pasar Captive PPPK.</w:t>
      </w:r>
    </w:p>
    <w:p>
      <w:pPr>
        <w:spacing w:after="0" w:line="151" w:lineRule="exact"/>
        <w:rPr>
          <w:rFonts w:ascii="Wingdings" w:cs="Wingdings" w:eastAsia="Wingdings" w:hAnsi="Wingdings"/>
          <w:sz w:val="24"/>
          <w:szCs w:val="24"/>
          <w:color w:val="auto"/>
        </w:rPr>
      </w:pPr>
    </w:p>
    <w:p>
      <w:pPr>
        <w:ind w:left="2620" w:right="270"/>
        <w:spacing w:after="0" w:line="348"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Peluang mengelola pasar captive PPPK untuk Program Pensiun, JHT, JKK dan JKm</w:t>
      </w:r>
    </w:p>
    <w:p>
      <w:pPr>
        <w:spacing w:after="0" w:line="15" w:lineRule="exact"/>
        <w:rPr>
          <w:rFonts w:ascii="Wingdings" w:cs="Wingdings" w:eastAsia="Wingdings" w:hAnsi="Wingdings"/>
          <w:sz w:val="24"/>
          <w:szCs w:val="24"/>
          <w:color w:val="auto"/>
        </w:rPr>
      </w:pPr>
    </w:p>
    <w:p>
      <w:pPr>
        <w:ind w:left="2620" w:hanging="352"/>
        <w:spacing w:after="0"/>
        <w:tabs>
          <w:tab w:leader="none" w:pos="2620" w:val="left"/>
        </w:tabs>
        <w:numPr>
          <w:ilvl w:val="1"/>
          <w:numId w:val="10"/>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Komitmen Pemenuhan Unfunded PSL.</w:t>
      </w:r>
    </w:p>
    <w:p>
      <w:pPr>
        <w:spacing w:after="0" w:line="148" w:lineRule="exact"/>
        <w:rPr>
          <w:rFonts w:ascii="Wingdings" w:cs="Wingdings" w:eastAsia="Wingdings" w:hAnsi="Wingdings"/>
          <w:sz w:val="24"/>
          <w:szCs w:val="24"/>
          <w:color w:val="auto"/>
        </w:rPr>
      </w:pPr>
    </w:p>
    <w:p>
      <w:pPr>
        <w:jc w:val="both"/>
        <w:ind w:left="2620" w:right="270"/>
        <w:spacing w:after="0" w:line="354"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Komitmen Pemerintah cukup besar dalam pemenuhan unfunded PSL dan menjamin pemenuhan semua kewajiban pembayaran manfaat Jaminan Sosial PNS</w:t>
      </w:r>
    </w:p>
    <w:p>
      <w:pPr>
        <w:spacing w:after="0" w:line="9" w:lineRule="exact"/>
        <w:rPr>
          <w:rFonts w:ascii="Wingdings" w:cs="Wingdings" w:eastAsia="Wingdings" w:hAnsi="Wingdings"/>
          <w:sz w:val="24"/>
          <w:szCs w:val="24"/>
          <w:color w:val="auto"/>
        </w:rPr>
      </w:pPr>
    </w:p>
    <w:p>
      <w:pPr>
        <w:ind w:left="2620" w:hanging="352"/>
        <w:spacing w:after="0"/>
        <w:tabs>
          <w:tab w:leader="none" w:pos="2620" w:val="left"/>
        </w:tabs>
        <w:numPr>
          <w:ilvl w:val="1"/>
          <w:numId w:val="10"/>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Mitra Strategis Pemerintah bersifat Jangka Panjang.</w:t>
      </w:r>
    </w:p>
    <w:p>
      <w:pPr>
        <w:spacing w:after="0" w:line="148" w:lineRule="exact"/>
        <w:rPr>
          <w:rFonts w:ascii="Wingdings" w:cs="Wingdings" w:eastAsia="Wingdings" w:hAnsi="Wingdings"/>
          <w:sz w:val="24"/>
          <w:szCs w:val="24"/>
          <w:color w:val="auto"/>
        </w:rPr>
      </w:pPr>
    </w:p>
    <w:p>
      <w:pPr>
        <w:jc w:val="both"/>
        <w:ind w:left="2620" w:right="270"/>
        <w:spacing w:after="0" w:line="371"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Dapat menjadi mitra strategis Pemerintah dalam hal pendanaan jangka panjang yang mendukung pembangunan nasional melalui investasi PT TASPEN (Persero) di Obligasi Pemerintah</w:t>
      </w:r>
    </w:p>
    <w:p>
      <w:pPr>
        <w:spacing w:after="0" w:line="366" w:lineRule="exact"/>
        <w:rPr>
          <w:rFonts w:ascii="Wingdings" w:cs="Wingdings" w:eastAsia="Wingdings" w:hAnsi="Wingdings"/>
          <w:sz w:val="24"/>
          <w:szCs w:val="24"/>
          <w:color w:val="auto"/>
        </w:rPr>
      </w:pPr>
    </w:p>
    <w:p>
      <w:pPr>
        <w:ind w:left="2620" w:hanging="352"/>
        <w:spacing w:after="0"/>
        <w:tabs>
          <w:tab w:leader="none" w:pos="2620" w:val="left"/>
        </w:tabs>
        <w:numPr>
          <w:ilvl w:val="1"/>
          <w:numId w:val="10"/>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Menjadi Integrated Financial Services.</w:t>
      </w:r>
    </w:p>
    <w:p>
      <w:pPr>
        <w:spacing w:after="0" w:line="148" w:lineRule="exact"/>
        <w:rPr>
          <w:rFonts w:ascii="Wingdings" w:cs="Wingdings" w:eastAsia="Wingdings" w:hAnsi="Wingdings"/>
          <w:sz w:val="24"/>
          <w:szCs w:val="24"/>
          <w:color w:val="auto"/>
        </w:rPr>
      </w:pPr>
    </w:p>
    <w:p>
      <w:pPr>
        <w:jc w:val="both"/>
        <w:ind w:left="2620" w:right="270"/>
        <w:spacing w:after="0" w:line="354"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Peluang perluasan usaha menjadi Integrated Financial Services meliputi Bank, Insurance, Pensiun Fund dan Asset Management</w:t>
      </w:r>
    </w:p>
    <w:p>
      <w:pPr>
        <w:spacing w:after="0" w:line="22" w:lineRule="exact"/>
        <w:rPr>
          <w:rFonts w:ascii="Wingdings" w:cs="Wingdings" w:eastAsia="Wingdings" w:hAnsi="Wingdings"/>
          <w:sz w:val="24"/>
          <w:szCs w:val="24"/>
          <w:color w:val="auto"/>
        </w:rPr>
      </w:pPr>
    </w:p>
    <w:p>
      <w:pPr>
        <w:jc w:val="both"/>
        <w:ind w:left="2620" w:right="270" w:hanging="352"/>
        <w:spacing w:after="0" w:line="356" w:lineRule="auto"/>
        <w:tabs>
          <w:tab w:leader="none" w:pos="2620" w:val="left"/>
        </w:tabs>
        <w:numPr>
          <w:ilvl w:val="1"/>
          <w:numId w:val="10"/>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Mengembangkan Usaha di Pasar BUMN, BUMD dan BHMN. PT TASPEN (Persero) memiliki peluang untuk memasarkan produknya di lingkup BUMN, BUMD dan BHMN (Universitas).</w:t>
      </w:r>
    </w:p>
    <w:p>
      <w:pPr>
        <w:spacing w:after="0" w:line="11" w:lineRule="exact"/>
        <w:rPr>
          <w:rFonts w:ascii="Wingdings" w:cs="Wingdings" w:eastAsia="Wingdings" w:hAnsi="Wingdings"/>
          <w:sz w:val="24"/>
          <w:szCs w:val="24"/>
          <w:color w:val="auto"/>
        </w:rPr>
      </w:pPr>
    </w:p>
    <w:p>
      <w:pPr>
        <w:ind w:left="1540"/>
        <w:spacing w:after="0"/>
        <w:rPr>
          <w:rFonts w:ascii="Wingdings" w:cs="Wingdings" w:eastAsia="Wingdings" w:hAnsi="Wingdings"/>
          <w:sz w:val="24"/>
          <w:szCs w:val="24"/>
          <w:color w:val="auto"/>
        </w:rPr>
      </w:pPr>
      <w:r>
        <w:rPr>
          <w:rFonts w:ascii="Times New Roman" w:cs="Times New Roman" w:eastAsia="Times New Roman" w:hAnsi="Times New Roman"/>
          <w:sz w:val="24"/>
          <w:szCs w:val="24"/>
          <w:b w:val="1"/>
          <w:bCs w:val="1"/>
          <w:color w:val="auto"/>
        </w:rPr>
        <w:t>d. Threats (Ancaman)</w:t>
      </w:r>
    </w:p>
    <w:p>
      <w:pPr>
        <w:spacing w:after="0" w:line="132" w:lineRule="exact"/>
        <w:rPr>
          <w:rFonts w:ascii="Wingdings" w:cs="Wingdings" w:eastAsia="Wingdings" w:hAnsi="Wingdings"/>
          <w:sz w:val="24"/>
          <w:szCs w:val="24"/>
          <w:color w:val="auto"/>
        </w:rPr>
      </w:pPr>
    </w:p>
    <w:p>
      <w:pPr>
        <w:ind w:left="2620" w:hanging="352"/>
        <w:spacing w:after="0"/>
        <w:tabs>
          <w:tab w:leader="none" w:pos="2620" w:val="left"/>
        </w:tabs>
        <w:numPr>
          <w:ilvl w:val="1"/>
          <w:numId w:val="10"/>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Disharmoni Perundangan - UU SJSN &amp; UU BPJS.</w:t>
      </w:r>
    </w:p>
    <w:p>
      <w:pPr>
        <w:sectPr>
          <w:pgSz w:w="11920" w:h="16845" w:orient="portrait"/>
          <w:cols w:equalWidth="0" w:num="1">
            <w:col w:w="9030"/>
          </w:cols>
          <w:pgMar w:left="1440" w:top="1440" w:right="1440" w:bottom="1440" w:gutter="0" w:footer="0" w:header="0"/>
        </w:sectPr>
      </w:pPr>
    </w:p>
    <w:p>
      <w:pPr>
        <w:spacing w:after="0" w:line="266" w:lineRule="exact"/>
        <w:rPr>
          <w:sz w:val="20"/>
          <w:szCs w:val="20"/>
          <w:color w:val="auto"/>
        </w:rPr>
      </w:pPr>
    </w:p>
    <w:p>
      <w:pPr>
        <w:jc w:val="both"/>
        <w:ind w:left="2620" w:right="250"/>
        <w:spacing w:after="0" w:line="356" w:lineRule="auto"/>
        <w:rPr>
          <w:sz w:val="20"/>
          <w:szCs w:val="20"/>
          <w:color w:val="auto"/>
        </w:rPr>
      </w:pPr>
      <w:r>
        <w:rPr>
          <w:rFonts w:ascii="Times New Roman" w:cs="Times New Roman" w:eastAsia="Times New Roman" w:hAnsi="Times New Roman"/>
          <w:sz w:val="24"/>
          <w:szCs w:val="24"/>
          <w:color w:val="auto"/>
        </w:rPr>
        <w:t>Adanya disharmoni UU SJSN dan UU BPJS dengan perundangan yang menjadi dasar hukum PT TASPEN (Persero). Hal ini berpotensi melemahkan posisi dan eksistensi PT TASPEN (Persero).</w:t>
      </w:r>
    </w:p>
    <w:p>
      <w:pPr>
        <w:spacing w:after="0" w:line="6" w:lineRule="exact"/>
        <w:rPr>
          <w:sz w:val="20"/>
          <w:szCs w:val="20"/>
          <w:color w:val="auto"/>
        </w:rPr>
      </w:pPr>
    </w:p>
    <w:p>
      <w:pPr>
        <w:ind w:left="2620" w:hanging="352"/>
        <w:spacing w:after="0"/>
        <w:tabs>
          <w:tab w:leader="none" w:pos="2620" w:val="left"/>
        </w:tabs>
        <w:numPr>
          <w:ilvl w:val="0"/>
          <w:numId w:val="11"/>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Penurunan Suku Bunga Investasi.</w:t>
      </w:r>
    </w:p>
    <w:p>
      <w:pPr>
        <w:spacing w:after="0" w:line="148" w:lineRule="exact"/>
        <w:rPr>
          <w:rFonts w:ascii="Wingdings" w:cs="Wingdings" w:eastAsia="Wingdings" w:hAnsi="Wingdings"/>
          <w:sz w:val="24"/>
          <w:szCs w:val="24"/>
          <w:color w:val="auto"/>
        </w:rPr>
      </w:pPr>
    </w:p>
    <w:p>
      <w:pPr>
        <w:ind w:left="2620" w:right="270"/>
        <w:spacing w:after="0" w:line="350"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Kondisi pasar uang dan pasar modal yang fluktuatif berpotensi melemahkan performa keuangan perusahaan</w:t>
      </w:r>
    </w:p>
    <w:p>
      <w:pPr>
        <w:spacing w:after="0" w:line="10" w:lineRule="exact"/>
        <w:rPr>
          <w:rFonts w:ascii="Wingdings" w:cs="Wingdings" w:eastAsia="Wingdings" w:hAnsi="Wingdings"/>
          <w:sz w:val="24"/>
          <w:szCs w:val="24"/>
          <w:color w:val="auto"/>
        </w:rPr>
      </w:pPr>
    </w:p>
    <w:p>
      <w:pPr>
        <w:ind w:left="2620" w:hanging="352"/>
        <w:spacing w:after="0"/>
        <w:tabs>
          <w:tab w:leader="none" w:pos="2620" w:val="left"/>
        </w:tabs>
        <w:numPr>
          <w:ilvl w:val="0"/>
          <w:numId w:val="11"/>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 xml:space="preserve">Timbulnya Unfunded </w:t>
      </w:r>
      <w:r>
        <w:rPr>
          <w:rFonts w:ascii="Times New Roman" w:cs="Times New Roman" w:eastAsia="Times New Roman" w:hAnsi="Times New Roman"/>
          <w:sz w:val="24"/>
          <w:szCs w:val="24"/>
          <w:i w:val="1"/>
          <w:iCs w:val="1"/>
          <w:color w:val="auto"/>
        </w:rPr>
        <w:t>PSL</w:t>
      </w:r>
      <w:r>
        <w:rPr>
          <w:rFonts w:ascii="Times New Roman" w:cs="Times New Roman" w:eastAsia="Times New Roman" w:hAnsi="Times New Roman"/>
          <w:sz w:val="24"/>
          <w:szCs w:val="24"/>
          <w:color w:val="auto"/>
        </w:rPr>
        <w:t xml:space="preserve"> akibat kenaikan Gaji.</w:t>
      </w:r>
    </w:p>
    <w:p>
      <w:pPr>
        <w:spacing w:after="0" w:line="151" w:lineRule="exact"/>
        <w:rPr>
          <w:rFonts w:ascii="Wingdings" w:cs="Wingdings" w:eastAsia="Wingdings" w:hAnsi="Wingdings"/>
          <w:sz w:val="24"/>
          <w:szCs w:val="24"/>
          <w:color w:val="auto"/>
        </w:rPr>
      </w:pPr>
    </w:p>
    <w:p>
      <w:pPr>
        <w:jc w:val="both"/>
        <w:ind w:left="2620" w:right="270"/>
        <w:spacing w:after="0" w:line="356"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 xml:space="preserve">Kenaikan gaji PNS menyebabkan timbulnya </w:t>
      </w:r>
      <w:r>
        <w:rPr>
          <w:rFonts w:ascii="Times New Roman" w:cs="Times New Roman" w:eastAsia="Times New Roman" w:hAnsi="Times New Roman"/>
          <w:sz w:val="24"/>
          <w:szCs w:val="24"/>
          <w:i w:val="1"/>
          <w:iCs w:val="1"/>
          <w:color w:val="auto"/>
        </w:rPr>
        <w:t>unfunded PSL</w:t>
      </w:r>
      <w:r>
        <w:rPr>
          <w:rFonts w:ascii="Times New Roman" w:cs="Times New Roman" w:eastAsia="Times New Roman" w:hAnsi="Times New Roman"/>
          <w:sz w:val="24"/>
          <w:szCs w:val="24"/>
          <w:color w:val="auto"/>
        </w:rPr>
        <w:t xml:space="preserve"> yang mana jika tidak diselesaikan dengan baik (disetor pemerintah) maka berpotensi melemahkan posisi keuangan PT TASPEN (Persero).</w:t>
      </w:r>
    </w:p>
    <w:p>
      <w:pPr>
        <w:spacing w:after="0" w:line="6" w:lineRule="exact"/>
        <w:rPr>
          <w:rFonts w:ascii="Wingdings" w:cs="Wingdings" w:eastAsia="Wingdings" w:hAnsi="Wingdings"/>
          <w:sz w:val="24"/>
          <w:szCs w:val="24"/>
          <w:color w:val="auto"/>
        </w:rPr>
      </w:pPr>
    </w:p>
    <w:p>
      <w:pPr>
        <w:ind w:left="2620" w:hanging="352"/>
        <w:spacing w:after="0"/>
        <w:tabs>
          <w:tab w:leader="none" w:pos="2620" w:val="left"/>
        </w:tabs>
        <w:numPr>
          <w:ilvl w:val="0"/>
          <w:numId w:val="11"/>
        </w:numPr>
        <w:rPr>
          <w:rFonts w:ascii="Wingdings" w:cs="Wingdings" w:eastAsia="Wingdings" w:hAnsi="Wingdings"/>
          <w:sz w:val="24"/>
          <w:szCs w:val="24"/>
          <w:color w:val="auto"/>
        </w:rPr>
      </w:pPr>
      <w:r>
        <w:rPr>
          <w:rFonts w:ascii="Times New Roman" w:cs="Times New Roman" w:eastAsia="Times New Roman" w:hAnsi="Times New Roman"/>
          <w:sz w:val="24"/>
          <w:szCs w:val="24"/>
          <w:color w:val="auto"/>
        </w:rPr>
        <w:t>Menurunnya Kepesertaan.</w:t>
      </w:r>
    </w:p>
    <w:p>
      <w:pPr>
        <w:spacing w:after="0" w:line="148" w:lineRule="exact"/>
        <w:rPr>
          <w:rFonts w:ascii="Wingdings" w:cs="Wingdings" w:eastAsia="Wingdings" w:hAnsi="Wingdings"/>
          <w:sz w:val="24"/>
          <w:szCs w:val="24"/>
          <w:color w:val="auto"/>
        </w:rPr>
      </w:pPr>
    </w:p>
    <w:p>
      <w:pPr>
        <w:jc w:val="both"/>
        <w:ind w:left="2620" w:right="270"/>
        <w:spacing w:after="0" w:line="356" w:lineRule="auto"/>
        <w:rPr>
          <w:rFonts w:ascii="Wingdings" w:cs="Wingdings" w:eastAsia="Wingdings" w:hAnsi="Wingdings"/>
          <w:sz w:val="24"/>
          <w:szCs w:val="24"/>
          <w:color w:val="auto"/>
        </w:rPr>
      </w:pPr>
      <w:r>
        <w:rPr>
          <w:rFonts w:ascii="Times New Roman" w:cs="Times New Roman" w:eastAsia="Times New Roman" w:hAnsi="Times New Roman"/>
          <w:sz w:val="24"/>
          <w:szCs w:val="24"/>
          <w:color w:val="auto"/>
        </w:rPr>
        <w:t xml:space="preserve">Kepesertaan berpotensi menurun karena moratorium pengangkatan PNS, </w:t>
      </w:r>
      <w:r>
        <w:rPr>
          <w:rFonts w:ascii="Times New Roman" w:cs="Times New Roman" w:eastAsia="Times New Roman" w:hAnsi="Times New Roman"/>
          <w:sz w:val="24"/>
          <w:szCs w:val="24"/>
          <w:i w:val="1"/>
          <w:iCs w:val="1"/>
          <w:color w:val="auto"/>
        </w:rPr>
        <w:t>aging population</w:t>
      </w:r>
      <w:r>
        <w:rPr>
          <w:rFonts w:ascii="Times New Roman" w:cs="Times New Roman" w:eastAsia="Times New Roman" w:hAnsi="Times New Roman"/>
          <w:sz w:val="24"/>
          <w:szCs w:val="24"/>
          <w:color w:val="auto"/>
        </w:rPr>
        <w:t xml:space="preserve"> dan PPPK belum tercakup sebagai peserta dalam program-program PT TASPEN (Persero).</w:t>
      </w:r>
    </w:p>
    <w:p>
      <w:pPr>
        <w:spacing w:after="0" w:line="11" w:lineRule="exact"/>
        <w:rPr>
          <w:sz w:val="20"/>
          <w:szCs w:val="20"/>
          <w:color w:val="auto"/>
        </w:rPr>
      </w:pPr>
    </w:p>
    <w:p>
      <w:pPr>
        <w:ind w:left="1540"/>
        <w:spacing w:after="0"/>
        <w:rPr>
          <w:sz w:val="20"/>
          <w:szCs w:val="20"/>
          <w:color w:val="auto"/>
        </w:rPr>
      </w:pPr>
      <w:r>
        <w:rPr>
          <w:rFonts w:ascii="Times New Roman" w:cs="Times New Roman" w:eastAsia="Times New Roman" w:hAnsi="Times New Roman"/>
          <w:sz w:val="24"/>
          <w:szCs w:val="24"/>
          <w:b w:val="1"/>
          <w:bCs w:val="1"/>
          <w:u w:val="single" w:color="auto"/>
          <w:color w:val="auto"/>
        </w:rPr>
        <w:t>Rekomendasi</w:t>
      </w:r>
    </w:p>
    <w:p>
      <w:pPr>
        <w:spacing w:after="0" w:line="147" w:lineRule="exact"/>
        <w:rPr>
          <w:sz w:val="20"/>
          <w:szCs w:val="20"/>
          <w:color w:val="auto"/>
        </w:rPr>
      </w:pPr>
    </w:p>
    <w:p>
      <w:pPr>
        <w:jc w:val="both"/>
        <w:ind w:left="1540" w:right="270" w:firstLine="720"/>
        <w:spacing w:after="0" w:line="358" w:lineRule="auto"/>
        <w:rPr>
          <w:sz w:val="20"/>
          <w:szCs w:val="20"/>
          <w:color w:val="auto"/>
        </w:rPr>
      </w:pPr>
      <w:r>
        <w:rPr>
          <w:rFonts w:ascii="Times New Roman" w:cs="Times New Roman" w:eastAsia="Times New Roman" w:hAnsi="Times New Roman"/>
          <w:sz w:val="24"/>
          <w:szCs w:val="24"/>
          <w:color w:val="auto"/>
        </w:rPr>
        <w:t>Dilihat dari analisis SWOT diatas maka PT Taspen persero perlu memaksimalkan pengunaan Strength serta mengembangkan opportunity yang tersedia. Selain itu kelemahan yang dimiliki perusahaan juga perlu diperbaiki agar dapat menghadapi ancaman dari luar. Perusahaan perlu menyiapkan diri untuk mengatasi ancaman yang mengganggu eksistensi perusahaan.</w:t>
      </w:r>
    </w:p>
    <w:p>
      <w:pPr>
        <w:spacing w:after="0" w:line="200" w:lineRule="exact"/>
        <w:rPr>
          <w:sz w:val="20"/>
          <w:szCs w:val="20"/>
          <w:color w:val="auto"/>
        </w:rPr>
      </w:pPr>
    </w:p>
    <w:p>
      <w:pPr>
        <w:spacing w:after="0" w:line="222" w:lineRule="exact"/>
        <w:rPr>
          <w:sz w:val="20"/>
          <w:szCs w:val="20"/>
          <w:color w:val="auto"/>
        </w:rPr>
      </w:pPr>
    </w:p>
    <w:p>
      <w:pPr>
        <w:ind w:left="820"/>
        <w:spacing w:after="0"/>
        <w:rPr>
          <w:sz w:val="20"/>
          <w:szCs w:val="20"/>
          <w:color w:val="auto"/>
        </w:rPr>
      </w:pPr>
      <w:r>
        <w:rPr>
          <w:rFonts w:ascii="Times New Roman" w:cs="Times New Roman" w:eastAsia="Times New Roman" w:hAnsi="Times New Roman"/>
          <w:sz w:val="24"/>
          <w:szCs w:val="24"/>
          <w:b w:val="1"/>
          <w:bCs w:val="1"/>
          <w:color w:val="auto"/>
        </w:rPr>
        <w:t>G. GCG</w:t>
      </w:r>
    </w:p>
    <w:p>
      <w:pPr>
        <w:spacing w:after="0" w:line="200" w:lineRule="exact"/>
        <w:rPr>
          <w:sz w:val="20"/>
          <w:szCs w:val="20"/>
          <w:color w:val="auto"/>
        </w:rPr>
      </w:pPr>
    </w:p>
    <w:p>
      <w:pPr>
        <w:spacing w:after="0" w:line="225" w:lineRule="exact"/>
        <w:rPr>
          <w:sz w:val="20"/>
          <w:szCs w:val="20"/>
          <w:color w:val="auto"/>
        </w:rPr>
      </w:pPr>
    </w:p>
    <w:p>
      <w:pPr>
        <w:jc w:val="both"/>
        <w:ind w:left="1120" w:right="270" w:firstLine="437"/>
        <w:spacing w:after="0" w:line="357" w:lineRule="auto"/>
        <w:rPr>
          <w:sz w:val="20"/>
          <w:szCs w:val="20"/>
          <w:color w:val="auto"/>
        </w:rPr>
      </w:pPr>
      <w:r>
        <w:rPr>
          <w:rFonts w:ascii="Times New Roman" w:cs="Times New Roman" w:eastAsia="Times New Roman" w:hAnsi="Times New Roman"/>
          <w:sz w:val="24"/>
          <w:szCs w:val="24"/>
          <w:i w:val="1"/>
          <w:iCs w:val="1"/>
          <w:color w:val="auto"/>
        </w:rPr>
        <w:t xml:space="preserve">Good Corporate Governance </w:t>
      </w:r>
      <w:r>
        <w:rPr>
          <w:rFonts w:ascii="Times New Roman" w:cs="Times New Roman" w:eastAsia="Times New Roman" w:hAnsi="Times New Roman"/>
          <w:sz w:val="24"/>
          <w:szCs w:val="24"/>
          <w:color w:val="auto"/>
        </w:rPr>
        <w:t>merupakan salah satu kunci sukses</w:t>
      </w:r>
      <w:r>
        <w:rPr>
          <w:rFonts w:ascii="Times New Roman" w:cs="Times New Roman" w:eastAsia="Times New Roman" w:hAnsi="Times New Roman"/>
          <w:sz w:val="24"/>
          <w:szCs w:val="24"/>
          <w:i w:val="1"/>
          <w:iCs w:val="1"/>
          <w:color w:val="auto"/>
        </w:rPr>
        <w:t xml:space="preserve"> </w:t>
      </w:r>
      <w:r>
        <w:rPr>
          <w:rFonts w:ascii="Times New Roman" w:cs="Times New Roman" w:eastAsia="Times New Roman" w:hAnsi="Times New Roman"/>
          <w:sz w:val="24"/>
          <w:szCs w:val="24"/>
          <w:color w:val="auto"/>
        </w:rPr>
        <w:t xml:space="preserve">perusahaan untuk tumbuh dan menguntungkan dalam jangka panjang sekaligus memenangkan persaingan </w:t>
      </w:r>
      <w:r>
        <w:rPr>
          <w:rFonts w:ascii="Times New Roman" w:cs="Times New Roman" w:eastAsia="Times New Roman" w:hAnsi="Times New Roman"/>
          <w:sz w:val="24"/>
          <w:szCs w:val="24"/>
          <w:i w:val="1"/>
          <w:iCs w:val="1"/>
          <w:color w:val="auto"/>
        </w:rPr>
        <w:t>Global. Good Corporate Governance</w:t>
      </w:r>
      <w:r>
        <w:rPr>
          <w:rFonts w:ascii="Times New Roman" w:cs="Times New Roman" w:eastAsia="Times New Roman" w:hAnsi="Times New Roman"/>
          <w:sz w:val="24"/>
          <w:szCs w:val="24"/>
          <w:color w:val="auto"/>
        </w:rPr>
        <w:t xml:space="preserve"> merupakan suatu proses dan struktur yang digunakan oleh Organ Persero untuk meningkatkan keberhasilan usaha dan akuntabilitas perusahaan, guna mewujudkan nilai pemegang saham dalam jangka panjang dengan tetap</w:t>
      </w:r>
    </w:p>
    <w:p>
      <w:pPr>
        <w:sectPr>
          <w:pgSz w:w="11920" w:h="16845" w:orient="portrait"/>
          <w:cols w:equalWidth="0" w:num="1">
            <w:col w:w="9030"/>
          </w:cols>
          <w:pgMar w:left="1440" w:top="1440" w:right="1440" w:bottom="1066" w:gutter="0" w:footer="0" w:header="0"/>
        </w:sectPr>
      </w:pPr>
    </w:p>
    <w:p>
      <w:pPr>
        <w:spacing w:after="0" w:line="266" w:lineRule="exact"/>
        <w:rPr>
          <w:sz w:val="20"/>
          <w:szCs w:val="20"/>
          <w:color w:val="auto"/>
        </w:rPr>
      </w:pPr>
    </w:p>
    <w:p>
      <w:pPr>
        <w:jc w:val="both"/>
        <w:ind w:left="1120"/>
        <w:spacing w:after="0" w:line="348" w:lineRule="auto"/>
        <w:rPr>
          <w:sz w:val="20"/>
          <w:szCs w:val="20"/>
          <w:color w:val="auto"/>
        </w:rPr>
      </w:pPr>
      <w:r>
        <w:rPr>
          <w:rFonts w:ascii="Times New Roman" w:cs="Times New Roman" w:eastAsia="Times New Roman" w:hAnsi="Times New Roman"/>
          <w:sz w:val="24"/>
          <w:szCs w:val="24"/>
          <w:color w:val="auto"/>
        </w:rPr>
        <w:t>memperhatikan kepentingan stakeholders berlandaskan peraturan perundang-undangan dan nilai-nilai etika.</w:t>
      </w:r>
    </w:p>
    <w:p>
      <w:pPr>
        <w:spacing w:after="0" w:line="20" w:lineRule="exact"/>
        <w:rPr>
          <w:sz w:val="20"/>
          <w:szCs w:val="20"/>
          <w:color w:val="auto"/>
        </w:rPr>
      </w:pPr>
      <w:r>
        <w:rPr>
          <w:sz w:val="20"/>
          <w:szCs w:val="20"/>
          <w:color w:val="auto"/>
        </w:rPr>
        <w:br w:type="column"/>
      </w:r>
    </w:p>
    <w:p>
      <w:pPr>
        <w:spacing w:after="0" w:line="246" w:lineRule="exact"/>
        <w:rPr>
          <w:sz w:val="20"/>
          <w:szCs w:val="20"/>
          <w:color w:val="auto"/>
        </w:rPr>
      </w:pPr>
    </w:p>
    <w:p>
      <w:pPr>
        <w:spacing w:after="0"/>
        <w:rPr>
          <w:sz w:val="20"/>
          <w:szCs w:val="20"/>
          <w:color w:val="auto"/>
        </w:rPr>
      </w:pPr>
      <w:r>
        <w:rPr>
          <w:rFonts w:ascii="Times New Roman" w:cs="Times New Roman" w:eastAsia="Times New Roman" w:hAnsi="Times New Roman"/>
          <w:sz w:val="23"/>
          <w:szCs w:val="23"/>
          <w:color w:val="auto"/>
        </w:rPr>
        <w:t>lainnya,</w:t>
      </w:r>
    </w:p>
    <w:p>
      <w:pPr>
        <w:spacing w:after="0" w:line="564" w:lineRule="exact"/>
        <w:rPr>
          <w:sz w:val="20"/>
          <w:szCs w:val="20"/>
          <w:color w:val="auto"/>
        </w:rPr>
      </w:pPr>
    </w:p>
    <w:p>
      <w:pPr>
        <w:sectPr>
          <w:pgSz w:w="11920" w:h="16845" w:orient="portrait"/>
          <w:cols w:equalWidth="0" w:num="2">
            <w:col w:w="7540" w:space="460"/>
            <w:col w:w="1030"/>
          </w:cols>
          <w:pgMar w:left="1440" w:top="1440" w:right="1440" w:bottom="1440" w:gutter="0" w:footer="0" w:header="0"/>
        </w:sectPr>
      </w:pPr>
    </w:p>
    <w:p>
      <w:pPr>
        <w:jc w:val="both"/>
        <w:ind w:left="1120" w:right="270" w:firstLine="437"/>
        <w:spacing w:after="0" w:line="357" w:lineRule="auto"/>
        <w:rPr>
          <w:sz w:val="20"/>
          <w:szCs w:val="20"/>
          <w:color w:val="auto"/>
        </w:rPr>
      </w:pPr>
      <w:r>
        <w:rPr>
          <w:rFonts w:ascii="Times New Roman" w:cs="Times New Roman" w:eastAsia="Times New Roman" w:hAnsi="Times New Roman"/>
          <w:sz w:val="24"/>
          <w:szCs w:val="24"/>
          <w:color w:val="auto"/>
        </w:rPr>
        <w:t>PT TASPEN (PERSERO) sebagai salah satu perusahaan yang bernaung di bawah Kementerian Negara BUMN telah berkomitmen untuk menerapkan prinsip-prinsip GCG secara konsisten dengan mengacu pada Peraturan Menteri BUMN Nomor: PER-01/MBU/2011 tanggal 1 Agustus 2011 tentang Penerapan Tata Kelola Perusahaan yang Baik (Good Corporate Governance) pada Badan Usaha Milik Negara.</w:t>
      </w:r>
    </w:p>
    <w:p>
      <w:pPr>
        <w:spacing w:after="0" w:line="287" w:lineRule="exact"/>
        <w:rPr>
          <w:sz w:val="20"/>
          <w:szCs w:val="20"/>
          <w:color w:val="auto"/>
        </w:rPr>
      </w:pPr>
    </w:p>
    <w:p>
      <w:pPr>
        <w:ind w:left="1120"/>
        <w:spacing w:after="0"/>
        <w:rPr>
          <w:sz w:val="20"/>
          <w:szCs w:val="20"/>
          <w:color w:val="auto"/>
        </w:rPr>
      </w:pPr>
      <w:r>
        <w:rPr>
          <w:rFonts w:ascii="Times New Roman" w:cs="Times New Roman" w:eastAsia="Times New Roman" w:hAnsi="Times New Roman"/>
          <w:sz w:val="24"/>
          <w:szCs w:val="24"/>
          <w:color w:val="auto"/>
        </w:rPr>
        <w:t xml:space="preserve">Prinsip-prinsip </w:t>
      </w:r>
      <w:r>
        <w:rPr>
          <w:rFonts w:ascii="Times New Roman" w:cs="Times New Roman" w:eastAsia="Times New Roman" w:hAnsi="Times New Roman"/>
          <w:sz w:val="24"/>
          <w:szCs w:val="24"/>
          <w:i w:val="1"/>
          <w:iCs w:val="1"/>
          <w:color w:val="auto"/>
        </w:rPr>
        <w:t>Good Corporate Governance</w:t>
      </w:r>
    </w:p>
    <w:p>
      <w:pPr>
        <w:spacing w:after="0" w:line="200" w:lineRule="exact"/>
        <w:rPr>
          <w:sz w:val="20"/>
          <w:szCs w:val="20"/>
          <w:color w:val="auto"/>
        </w:rPr>
      </w:pPr>
    </w:p>
    <w:p>
      <w:pPr>
        <w:spacing w:after="0" w:line="230" w:lineRule="exact"/>
        <w:rPr>
          <w:sz w:val="20"/>
          <w:szCs w:val="20"/>
          <w:color w:val="auto"/>
        </w:rPr>
      </w:pPr>
    </w:p>
    <w:p>
      <w:pPr>
        <w:jc w:val="both"/>
        <w:ind w:left="1540" w:right="270" w:hanging="429"/>
        <w:spacing w:after="0" w:line="354" w:lineRule="auto"/>
        <w:tabs>
          <w:tab w:leader="none" w:pos="1540" w:val="left"/>
        </w:tabs>
        <w:numPr>
          <w:ilvl w:val="0"/>
          <w:numId w:val="1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i w:val="1"/>
          <w:iCs w:val="1"/>
          <w:color w:val="auto"/>
        </w:rPr>
        <w:t xml:space="preserve">Transparency </w:t>
      </w:r>
      <w:r>
        <w:rPr>
          <w:rFonts w:ascii="Times New Roman" w:cs="Times New Roman" w:eastAsia="Times New Roman" w:hAnsi="Times New Roman"/>
          <w:sz w:val="24"/>
          <w:szCs w:val="24"/>
          <w:color w:val="auto"/>
        </w:rPr>
        <w:t>(Transparansi) yaitu keterbukaan dalam proses pengambilan</w:t>
      </w:r>
      <w:r>
        <w:rPr>
          <w:rFonts w:ascii="Times New Roman" w:cs="Times New Roman" w:eastAsia="Times New Roman" w:hAnsi="Times New Roman"/>
          <w:sz w:val="24"/>
          <w:szCs w:val="24"/>
          <w:i w:val="1"/>
          <w:iCs w:val="1"/>
          <w:color w:val="auto"/>
        </w:rPr>
        <w:t xml:space="preserve"> </w:t>
      </w:r>
      <w:r>
        <w:rPr>
          <w:rFonts w:ascii="Times New Roman" w:cs="Times New Roman" w:eastAsia="Times New Roman" w:hAnsi="Times New Roman"/>
          <w:sz w:val="24"/>
          <w:szCs w:val="24"/>
          <w:color w:val="auto"/>
        </w:rPr>
        <w:t>keputusan dan penyampaian informasi yang material dan relevan mengenai perusahaan.</w:t>
      </w:r>
    </w:p>
    <w:p>
      <w:pPr>
        <w:spacing w:after="0" w:line="22" w:lineRule="exact"/>
        <w:rPr>
          <w:rFonts w:ascii="Times New Roman" w:cs="Times New Roman" w:eastAsia="Times New Roman" w:hAnsi="Times New Roman"/>
          <w:sz w:val="24"/>
          <w:szCs w:val="24"/>
          <w:color w:val="auto"/>
        </w:rPr>
      </w:pPr>
    </w:p>
    <w:p>
      <w:pPr>
        <w:jc w:val="both"/>
        <w:ind w:left="1540" w:right="270" w:hanging="429"/>
        <w:spacing w:after="0" w:line="354" w:lineRule="auto"/>
        <w:tabs>
          <w:tab w:leader="none" w:pos="1540" w:val="left"/>
        </w:tabs>
        <w:numPr>
          <w:ilvl w:val="0"/>
          <w:numId w:val="1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i w:val="1"/>
          <w:iCs w:val="1"/>
          <w:color w:val="auto"/>
        </w:rPr>
        <w:t xml:space="preserve">Accountability </w:t>
      </w:r>
      <w:r>
        <w:rPr>
          <w:rFonts w:ascii="Times New Roman" w:cs="Times New Roman" w:eastAsia="Times New Roman" w:hAnsi="Times New Roman"/>
          <w:sz w:val="24"/>
          <w:szCs w:val="24"/>
          <w:color w:val="auto"/>
        </w:rPr>
        <w:t>(Akuntabiltas) yaitu kejelasan fungsi, pelaksanaan dan</w:t>
      </w:r>
      <w:r>
        <w:rPr>
          <w:rFonts w:ascii="Times New Roman" w:cs="Times New Roman" w:eastAsia="Times New Roman" w:hAnsi="Times New Roman"/>
          <w:sz w:val="24"/>
          <w:szCs w:val="24"/>
          <w:i w:val="1"/>
          <w:iCs w:val="1"/>
          <w:color w:val="auto"/>
        </w:rPr>
        <w:t xml:space="preserve"> </w:t>
      </w:r>
      <w:r>
        <w:rPr>
          <w:rFonts w:ascii="Times New Roman" w:cs="Times New Roman" w:eastAsia="Times New Roman" w:hAnsi="Times New Roman"/>
          <w:sz w:val="24"/>
          <w:szCs w:val="24"/>
          <w:color w:val="auto"/>
        </w:rPr>
        <w:t>pertanggungjawaban Organ sehingga pengelolaan perusahaan terlaksana dengan efektif.</w:t>
      </w:r>
    </w:p>
    <w:p>
      <w:pPr>
        <w:spacing w:after="0" w:line="19" w:lineRule="exact"/>
        <w:rPr>
          <w:rFonts w:ascii="Times New Roman" w:cs="Times New Roman" w:eastAsia="Times New Roman" w:hAnsi="Times New Roman"/>
          <w:sz w:val="24"/>
          <w:szCs w:val="24"/>
          <w:color w:val="auto"/>
        </w:rPr>
      </w:pPr>
    </w:p>
    <w:p>
      <w:pPr>
        <w:jc w:val="both"/>
        <w:ind w:left="1540" w:right="270" w:hanging="429"/>
        <w:spacing w:after="0" w:line="355" w:lineRule="auto"/>
        <w:tabs>
          <w:tab w:leader="none" w:pos="1540" w:val="left"/>
        </w:tabs>
        <w:numPr>
          <w:ilvl w:val="0"/>
          <w:numId w:val="1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i w:val="1"/>
          <w:iCs w:val="1"/>
          <w:color w:val="auto"/>
        </w:rPr>
        <w:t xml:space="preserve">Responsibility </w:t>
      </w:r>
      <w:r>
        <w:rPr>
          <w:rFonts w:ascii="Times New Roman" w:cs="Times New Roman" w:eastAsia="Times New Roman" w:hAnsi="Times New Roman"/>
          <w:sz w:val="24"/>
          <w:szCs w:val="24"/>
          <w:color w:val="auto"/>
        </w:rPr>
        <w:t>(Pertanggungjawaban) yaitu kesesuaian didalam</w:t>
      </w:r>
      <w:r>
        <w:rPr>
          <w:rFonts w:ascii="Times New Roman" w:cs="Times New Roman" w:eastAsia="Times New Roman" w:hAnsi="Times New Roman"/>
          <w:sz w:val="24"/>
          <w:szCs w:val="24"/>
          <w:i w:val="1"/>
          <w:iCs w:val="1"/>
          <w:color w:val="auto"/>
        </w:rPr>
        <w:t xml:space="preserve"> </w:t>
      </w:r>
      <w:r>
        <w:rPr>
          <w:rFonts w:ascii="Times New Roman" w:cs="Times New Roman" w:eastAsia="Times New Roman" w:hAnsi="Times New Roman"/>
          <w:sz w:val="24"/>
          <w:szCs w:val="24"/>
          <w:color w:val="auto"/>
        </w:rPr>
        <w:t>pengelolaan perusahaan terhadap peraturan perundang-undangan dan prinsip-prinsip korporasi yang sehat.</w:t>
      </w:r>
    </w:p>
    <w:p>
      <w:pPr>
        <w:spacing w:after="0" w:line="20" w:lineRule="exact"/>
        <w:rPr>
          <w:rFonts w:ascii="Times New Roman" w:cs="Times New Roman" w:eastAsia="Times New Roman" w:hAnsi="Times New Roman"/>
          <w:sz w:val="24"/>
          <w:szCs w:val="24"/>
          <w:color w:val="auto"/>
        </w:rPr>
      </w:pPr>
    </w:p>
    <w:p>
      <w:pPr>
        <w:jc w:val="both"/>
        <w:ind w:left="1540" w:right="270" w:hanging="429"/>
        <w:spacing w:after="0" w:line="356" w:lineRule="auto"/>
        <w:tabs>
          <w:tab w:leader="none" w:pos="1540" w:val="left"/>
        </w:tabs>
        <w:numPr>
          <w:ilvl w:val="0"/>
          <w:numId w:val="1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i w:val="1"/>
          <w:iCs w:val="1"/>
          <w:color w:val="auto"/>
        </w:rPr>
        <w:t xml:space="preserve">Independency </w:t>
      </w:r>
      <w:r>
        <w:rPr>
          <w:rFonts w:ascii="Times New Roman" w:cs="Times New Roman" w:eastAsia="Times New Roman" w:hAnsi="Times New Roman"/>
          <w:sz w:val="24"/>
          <w:szCs w:val="24"/>
          <w:color w:val="auto"/>
        </w:rPr>
        <w:t>(Kemandirian) yaitu keadaan dimana perusahaan dikelola</w:t>
      </w:r>
      <w:r>
        <w:rPr>
          <w:rFonts w:ascii="Times New Roman" w:cs="Times New Roman" w:eastAsia="Times New Roman" w:hAnsi="Times New Roman"/>
          <w:sz w:val="24"/>
          <w:szCs w:val="24"/>
          <w:i w:val="1"/>
          <w:iCs w:val="1"/>
          <w:color w:val="auto"/>
        </w:rPr>
        <w:t xml:space="preserve"> </w:t>
      </w:r>
      <w:r>
        <w:rPr>
          <w:rFonts w:ascii="Times New Roman" w:cs="Times New Roman" w:eastAsia="Times New Roman" w:hAnsi="Times New Roman"/>
          <w:sz w:val="24"/>
          <w:szCs w:val="24"/>
          <w:color w:val="auto"/>
        </w:rPr>
        <w:t>secara profesional tanpa benturan kepentingan dan pengaruh/tekanan dari pihak manapun yang tidak sesuai dengan peraturan perundang-undangan dan prinsip-prinsip korporasi yang sehat.</w:t>
      </w:r>
    </w:p>
    <w:p>
      <w:pPr>
        <w:spacing w:after="0" w:line="18" w:lineRule="exact"/>
        <w:rPr>
          <w:rFonts w:ascii="Times New Roman" w:cs="Times New Roman" w:eastAsia="Times New Roman" w:hAnsi="Times New Roman"/>
          <w:sz w:val="24"/>
          <w:szCs w:val="24"/>
          <w:color w:val="auto"/>
        </w:rPr>
      </w:pPr>
    </w:p>
    <w:p>
      <w:pPr>
        <w:jc w:val="both"/>
        <w:ind w:left="1540" w:right="270" w:hanging="429"/>
        <w:spacing w:after="0" w:line="354" w:lineRule="auto"/>
        <w:tabs>
          <w:tab w:leader="none" w:pos="1540" w:val="left"/>
        </w:tabs>
        <w:numPr>
          <w:ilvl w:val="0"/>
          <w:numId w:val="1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i w:val="1"/>
          <w:iCs w:val="1"/>
          <w:color w:val="auto"/>
        </w:rPr>
        <w:t xml:space="preserve">Fairness </w:t>
      </w:r>
      <w:r>
        <w:rPr>
          <w:rFonts w:ascii="Times New Roman" w:cs="Times New Roman" w:eastAsia="Times New Roman" w:hAnsi="Times New Roman"/>
          <w:sz w:val="24"/>
          <w:szCs w:val="24"/>
          <w:color w:val="auto"/>
        </w:rPr>
        <w:t>(Kewajaran) yaitu keadilan dan kesetaraan didalam memenuhi</w:t>
      </w:r>
      <w:r>
        <w:rPr>
          <w:rFonts w:ascii="Times New Roman" w:cs="Times New Roman" w:eastAsia="Times New Roman" w:hAnsi="Times New Roman"/>
          <w:sz w:val="24"/>
          <w:szCs w:val="24"/>
          <w:i w:val="1"/>
          <w:iCs w:val="1"/>
          <w:color w:val="auto"/>
        </w:rPr>
        <w:t xml:space="preserve"> </w:t>
      </w:r>
      <w:r>
        <w:rPr>
          <w:rFonts w:ascii="Times New Roman" w:cs="Times New Roman" w:eastAsia="Times New Roman" w:hAnsi="Times New Roman"/>
          <w:sz w:val="24"/>
          <w:szCs w:val="24"/>
          <w:color w:val="auto"/>
        </w:rPr>
        <w:t>hak-hak Stakeholders yang timbul berdasarkan perjanjian dan peraturan perundang-undangan.</w:t>
      </w:r>
    </w:p>
    <w:p>
      <w:pPr>
        <w:spacing w:after="0" w:line="288" w:lineRule="exact"/>
        <w:rPr>
          <w:sz w:val="20"/>
          <w:szCs w:val="20"/>
          <w:color w:val="auto"/>
        </w:rPr>
      </w:pPr>
    </w:p>
    <w:tbl>
      <w:tblPr>
        <w:tblLayout w:type="fixed"/>
        <w:tblInd w:w="1120" w:type="dxa"/>
        <w:tblCellMar>
          <w:top w:w="0" w:type="dxa"/>
          <w:left w:w="0" w:type="dxa"/>
          <w:bottom w:w="0" w:type="dxa"/>
          <w:right w:w="0" w:type="dxa"/>
        </w:tblCellMar>
      </w:tblPr>
      <w:tr>
        <w:trPr>
          <w:trHeight w:val="276"/>
        </w:trPr>
        <w:tc>
          <w:tcPr>
            <w:tcW w:w="4580" w:type="dxa"/>
            <w:vAlign w:val="bottom"/>
          </w:tcPr>
          <w:p>
            <w:pPr>
              <w:ind w:left="420"/>
              <w:spacing w:after="0"/>
              <w:rPr>
                <w:sz w:val="20"/>
                <w:szCs w:val="20"/>
                <w:color w:val="auto"/>
              </w:rPr>
            </w:pPr>
            <w:r>
              <w:rPr>
                <w:rFonts w:ascii="Times New Roman" w:cs="Times New Roman" w:eastAsia="Times New Roman" w:hAnsi="Times New Roman"/>
                <w:sz w:val="24"/>
                <w:szCs w:val="24"/>
                <w:color w:val="auto"/>
              </w:rPr>
              <w:t xml:space="preserve">Penerapan </w:t>
            </w:r>
            <w:r>
              <w:rPr>
                <w:rFonts w:ascii="Times New Roman" w:cs="Times New Roman" w:eastAsia="Times New Roman" w:hAnsi="Times New Roman"/>
                <w:sz w:val="24"/>
                <w:szCs w:val="24"/>
                <w:i w:val="1"/>
                <w:iCs w:val="1"/>
                <w:color w:val="auto"/>
              </w:rPr>
              <w:t>Good Corporate Governance</w:t>
            </w:r>
          </w:p>
        </w:tc>
        <w:tc>
          <w:tcPr>
            <w:tcW w:w="1320" w:type="dxa"/>
            <w:vAlign w:val="bottom"/>
          </w:tcPr>
          <w:p>
            <w:pPr>
              <w:ind w:left="20"/>
              <w:spacing w:after="0"/>
              <w:rPr>
                <w:sz w:val="20"/>
                <w:szCs w:val="20"/>
                <w:color w:val="auto"/>
              </w:rPr>
            </w:pPr>
            <w:r>
              <w:rPr>
                <w:rFonts w:ascii="Times New Roman" w:cs="Times New Roman" w:eastAsia="Times New Roman" w:hAnsi="Times New Roman"/>
                <w:sz w:val="24"/>
                <w:szCs w:val="24"/>
                <w:i w:val="1"/>
                <w:iCs w:val="1"/>
                <w:color w:val="auto"/>
                <w:w w:val="99"/>
              </w:rPr>
              <w:t xml:space="preserve">(GCG) </w:t>
            </w:r>
            <w:r>
              <w:rPr>
                <w:rFonts w:ascii="Times New Roman" w:cs="Times New Roman" w:eastAsia="Times New Roman" w:hAnsi="Times New Roman"/>
                <w:sz w:val="24"/>
                <w:szCs w:val="24"/>
                <w:color w:val="auto"/>
                <w:w w:val="99"/>
              </w:rPr>
              <w:t>setiap</w:t>
            </w:r>
          </w:p>
        </w:tc>
        <w:tc>
          <w:tcPr>
            <w:tcW w:w="780" w:type="dxa"/>
            <w:vAlign w:val="bottom"/>
          </w:tcPr>
          <w:p>
            <w:pPr>
              <w:jc w:val="center"/>
              <w:spacing w:after="0"/>
              <w:rPr>
                <w:sz w:val="20"/>
                <w:szCs w:val="20"/>
                <w:color w:val="auto"/>
              </w:rPr>
            </w:pPr>
            <w:r>
              <w:rPr>
                <w:rFonts w:ascii="Times New Roman" w:cs="Times New Roman" w:eastAsia="Times New Roman" w:hAnsi="Times New Roman"/>
                <w:sz w:val="24"/>
                <w:szCs w:val="24"/>
                <w:color w:val="auto"/>
              </w:rPr>
              <w:t>tahun</w:t>
            </w:r>
          </w:p>
        </w:tc>
        <w:tc>
          <w:tcPr>
            <w:tcW w:w="960" w:type="dxa"/>
            <w:vAlign w:val="bottom"/>
          </w:tcPr>
          <w:p>
            <w:pPr>
              <w:jc w:val="right"/>
              <w:spacing w:after="0"/>
              <w:rPr>
                <w:sz w:val="20"/>
                <w:szCs w:val="20"/>
                <w:color w:val="auto"/>
              </w:rPr>
            </w:pPr>
            <w:r>
              <w:rPr>
                <w:rFonts w:ascii="Times New Roman" w:cs="Times New Roman" w:eastAsia="Times New Roman" w:hAnsi="Times New Roman"/>
                <w:sz w:val="24"/>
                <w:szCs w:val="24"/>
                <w:color w:val="auto"/>
                <w:w w:val="99"/>
              </w:rPr>
              <w:t>dilakukan</w:t>
            </w:r>
          </w:p>
        </w:tc>
      </w:tr>
      <w:tr>
        <w:trPr>
          <w:trHeight w:val="413"/>
        </w:trPr>
        <w:tc>
          <w:tcPr>
            <w:tcW w:w="4580" w:type="dxa"/>
            <w:vAlign w:val="bottom"/>
          </w:tcPr>
          <w:p>
            <w:pPr>
              <w:spacing w:after="0"/>
              <w:rPr>
                <w:sz w:val="20"/>
                <w:szCs w:val="20"/>
                <w:color w:val="auto"/>
              </w:rPr>
            </w:pPr>
            <w:r>
              <w:rPr>
                <w:rFonts w:ascii="Times New Roman" w:cs="Times New Roman" w:eastAsia="Times New Roman" w:hAnsi="Times New Roman"/>
                <w:sz w:val="24"/>
                <w:szCs w:val="24"/>
                <w:color w:val="auto"/>
              </w:rPr>
              <w:t>assessment dan evaluasi, baik oleh Assessor</w:t>
            </w:r>
          </w:p>
        </w:tc>
        <w:tc>
          <w:tcPr>
            <w:tcW w:w="1320" w:type="dxa"/>
            <w:vAlign w:val="bottom"/>
          </w:tcPr>
          <w:p>
            <w:pPr>
              <w:ind w:left="80"/>
              <w:spacing w:after="0"/>
              <w:rPr>
                <w:sz w:val="20"/>
                <w:szCs w:val="20"/>
                <w:color w:val="auto"/>
              </w:rPr>
            </w:pPr>
            <w:r>
              <w:rPr>
                <w:rFonts w:ascii="Times New Roman" w:cs="Times New Roman" w:eastAsia="Times New Roman" w:hAnsi="Times New Roman"/>
                <w:sz w:val="24"/>
                <w:szCs w:val="24"/>
                <w:color w:val="auto"/>
              </w:rPr>
              <w:t>Independen</w:t>
            </w:r>
          </w:p>
        </w:tc>
        <w:tc>
          <w:tcPr>
            <w:tcW w:w="780" w:type="dxa"/>
            <w:vAlign w:val="bottom"/>
          </w:tcPr>
          <w:p>
            <w:pPr>
              <w:jc w:val="center"/>
              <w:spacing w:after="0"/>
              <w:rPr>
                <w:sz w:val="20"/>
                <w:szCs w:val="20"/>
                <w:color w:val="auto"/>
              </w:rPr>
            </w:pPr>
            <w:r>
              <w:rPr>
                <w:rFonts w:ascii="Times New Roman" w:cs="Times New Roman" w:eastAsia="Times New Roman" w:hAnsi="Times New Roman"/>
                <w:sz w:val="24"/>
                <w:szCs w:val="24"/>
                <w:color w:val="auto"/>
                <w:w w:val="98"/>
              </w:rPr>
              <w:t>maupun</w:t>
            </w:r>
          </w:p>
        </w:tc>
        <w:tc>
          <w:tcPr>
            <w:tcW w:w="96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Assessor</w:t>
            </w:r>
          </w:p>
        </w:tc>
      </w:tr>
      <w:tr>
        <w:trPr>
          <w:trHeight w:val="415"/>
        </w:trPr>
        <w:tc>
          <w:tcPr>
            <w:tcW w:w="4580" w:type="dxa"/>
            <w:vAlign w:val="bottom"/>
          </w:tcPr>
          <w:p>
            <w:pPr>
              <w:spacing w:after="0"/>
              <w:rPr>
                <w:sz w:val="20"/>
                <w:szCs w:val="20"/>
                <w:color w:val="auto"/>
              </w:rPr>
            </w:pPr>
            <w:r>
              <w:rPr>
                <w:rFonts w:ascii="Times New Roman" w:cs="Times New Roman" w:eastAsia="Times New Roman" w:hAnsi="Times New Roman"/>
                <w:sz w:val="24"/>
                <w:szCs w:val="24"/>
                <w:color w:val="auto"/>
              </w:rPr>
              <w:t>Internal. Penerapan GCG untuk tahun buku</w:t>
            </w:r>
          </w:p>
        </w:tc>
        <w:tc>
          <w:tcPr>
            <w:tcW w:w="3060" w:type="dxa"/>
            <w:vAlign w:val="bottom"/>
            <w:gridSpan w:val="3"/>
          </w:tcPr>
          <w:p>
            <w:pPr>
              <w:jc w:val="right"/>
              <w:spacing w:after="0"/>
              <w:rPr>
                <w:sz w:val="20"/>
                <w:szCs w:val="20"/>
                <w:color w:val="auto"/>
              </w:rPr>
            </w:pPr>
            <w:r>
              <w:rPr>
                <w:rFonts w:ascii="Times New Roman" w:cs="Times New Roman" w:eastAsia="Times New Roman" w:hAnsi="Times New Roman"/>
                <w:sz w:val="24"/>
                <w:szCs w:val="24"/>
                <w:color w:val="auto"/>
              </w:rPr>
              <w:t>2015 dilakukan evaluasi oleh</w:t>
            </w:r>
          </w:p>
        </w:tc>
      </w:tr>
      <w:tr>
        <w:trPr>
          <w:trHeight w:val="413"/>
        </w:trPr>
        <w:tc>
          <w:tcPr>
            <w:tcW w:w="5900" w:type="dxa"/>
            <w:vAlign w:val="bottom"/>
            <w:gridSpan w:val="2"/>
          </w:tcPr>
          <w:p>
            <w:pPr>
              <w:spacing w:after="0"/>
              <w:rPr>
                <w:sz w:val="20"/>
                <w:szCs w:val="20"/>
                <w:color w:val="auto"/>
              </w:rPr>
            </w:pPr>
            <w:r>
              <w:rPr>
                <w:rFonts w:ascii="Times New Roman" w:cs="Times New Roman" w:eastAsia="Times New Roman" w:hAnsi="Times New Roman"/>
                <w:sz w:val="24"/>
                <w:szCs w:val="24"/>
                <w:color w:val="auto"/>
              </w:rPr>
              <w:t>Satuan Pengawasan Internal (SPI) sebagai Assessor Internal</w:t>
            </w:r>
          </w:p>
        </w:tc>
        <w:tc>
          <w:tcPr>
            <w:tcW w:w="1740" w:type="dxa"/>
            <w:vAlign w:val="bottom"/>
            <w:gridSpan w:val="2"/>
          </w:tcPr>
          <w:p>
            <w:pPr>
              <w:jc w:val="right"/>
              <w:spacing w:after="0"/>
              <w:rPr>
                <w:sz w:val="20"/>
                <w:szCs w:val="20"/>
                <w:color w:val="auto"/>
              </w:rPr>
            </w:pPr>
            <w:r>
              <w:rPr>
                <w:rFonts w:ascii="Times New Roman" w:cs="Times New Roman" w:eastAsia="Times New Roman" w:hAnsi="Times New Roman"/>
                <w:sz w:val="24"/>
                <w:szCs w:val="24"/>
                <w:color w:val="auto"/>
              </w:rPr>
              <w:t>dengan perolehan</w:t>
            </w:r>
          </w:p>
        </w:tc>
      </w:tr>
    </w:tbl>
    <w:p>
      <w:pPr>
        <w:sectPr>
          <w:pgSz w:w="11920" w:h="16845" w:orient="portrait"/>
          <w:cols w:equalWidth="0" w:num="1">
            <w:col w:w="9030"/>
          </w:cols>
          <w:pgMar w:left="1440" w:top="1440" w:right="1440" w:bottom="1440" w:gutter="0" w:footer="0" w:header="0"/>
          <w:type w:val="continuous"/>
        </w:sectPr>
      </w:pPr>
    </w:p>
    <w:p>
      <w:pPr>
        <w:spacing w:after="0" w:line="266" w:lineRule="exact"/>
        <w:rPr>
          <w:sz w:val="20"/>
          <w:szCs w:val="20"/>
          <w:color w:val="auto"/>
        </w:rPr>
      </w:pPr>
    </w:p>
    <w:p>
      <w:pPr>
        <w:jc w:val="both"/>
        <w:ind w:left="1120" w:right="270"/>
        <w:spacing w:after="0" w:line="348" w:lineRule="auto"/>
        <w:rPr>
          <w:sz w:val="20"/>
          <w:szCs w:val="20"/>
          <w:color w:val="auto"/>
        </w:rPr>
      </w:pPr>
      <w:r>
        <w:rPr>
          <w:rFonts w:ascii="Times New Roman" w:cs="Times New Roman" w:eastAsia="Times New Roman" w:hAnsi="Times New Roman"/>
          <w:sz w:val="24"/>
          <w:szCs w:val="24"/>
          <w:color w:val="auto"/>
        </w:rPr>
        <w:t xml:space="preserve">skor sebesar </w:t>
      </w:r>
      <w:r>
        <w:rPr>
          <w:rFonts w:ascii="Times New Roman" w:cs="Times New Roman" w:eastAsia="Times New Roman" w:hAnsi="Times New Roman"/>
          <w:sz w:val="24"/>
          <w:szCs w:val="24"/>
          <w:b w:val="1"/>
          <w:bCs w:val="1"/>
          <w:color w:val="auto"/>
        </w:rPr>
        <w:t>96,050</w:t>
      </w:r>
      <w:r>
        <w:rPr>
          <w:rFonts w:ascii="Times New Roman" w:cs="Times New Roman" w:eastAsia="Times New Roman" w:hAnsi="Times New Roman"/>
          <w:sz w:val="24"/>
          <w:szCs w:val="24"/>
          <w:color w:val="auto"/>
        </w:rPr>
        <w:t xml:space="preserve"> kategori </w:t>
      </w:r>
      <w:r>
        <w:rPr>
          <w:rFonts w:ascii="Times New Roman" w:cs="Times New Roman" w:eastAsia="Times New Roman" w:hAnsi="Times New Roman"/>
          <w:sz w:val="24"/>
          <w:szCs w:val="24"/>
          <w:b w:val="1"/>
          <w:bCs w:val="1"/>
          <w:color w:val="auto"/>
        </w:rPr>
        <w:t>“Sangat Baik”</w:t>
      </w:r>
      <w:r>
        <w:rPr>
          <w:rFonts w:ascii="Times New Roman" w:cs="Times New Roman" w:eastAsia="Times New Roman" w:hAnsi="Times New Roman"/>
          <w:sz w:val="24"/>
          <w:szCs w:val="24"/>
          <w:color w:val="auto"/>
        </w:rPr>
        <w:t xml:space="preserve">. Terjadi peningkatan skor sebesar </w:t>
      </w:r>
      <w:r>
        <w:rPr>
          <w:rFonts w:ascii="Times New Roman" w:cs="Times New Roman" w:eastAsia="Times New Roman" w:hAnsi="Times New Roman"/>
          <w:sz w:val="24"/>
          <w:szCs w:val="24"/>
          <w:b w:val="1"/>
          <w:bCs w:val="1"/>
          <w:color w:val="auto"/>
        </w:rPr>
        <w:t>1,8%</w:t>
      </w:r>
      <w:r>
        <w:rPr>
          <w:rFonts w:ascii="Times New Roman" w:cs="Times New Roman" w:eastAsia="Times New Roman" w:hAnsi="Times New Roman"/>
          <w:sz w:val="24"/>
          <w:szCs w:val="24"/>
          <w:color w:val="auto"/>
        </w:rPr>
        <w:t xml:space="preserve"> dari tahun 2014 dengan skor 94,358.</w:t>
      </w:r>
    </w:p>
    <w:p>
      <w:pPr>
        <w:spacing w:after="0" w:line="28" w:lineRule="exact"/>
        <w:rPr>
          <w:sz w:val="20"/>
          <w:szCs w:val="20"/>
          <w:color w:val="auto"/>
        </w:rPr>
      </w:pPr>
    </w:p>
    <w:p>
      <w:pPr>
        <w:jc w:val="both"/>
        <w:ind w:left="1120" w:right="270" w:firstLine="437"/>
        <w:spacing w:after="0" w:line="358" w:lineRule="auto"/>
        <w:rPr>
          <w:sz w:val="20"/>
          <w:szCs w:val="20"/>
          <w:color w:val="auto"/>
        </w:rPr>
      </w:pPr>
      <w:r>
        <w:rPr>
          <w:rFonts w:ascii="Times New Roman" w:cs="Times New Roman" w:eastAsia="Times New Roman" w:hAnsi="Times New Roman"/>
          <w:sz w:val="24"/>
          <w:szCs w:val="24"/>
          <w:color w:val="auto"/>
        </w:rPr>
        <w:t>Assessment dilakukan dengan mengacu pada Surat Keputusan Sekretaris Kementerian BUMN Nomor: SK-16/S.MBU/2012 tanggal 6 Juni 2012 tentang Indikator/Parameter Penilaian dan Evaluasi atas Penerapan Tata Kelola Perusahaan Yang Baik (</w:t>
      </w:r>
      <w:r>
        <w:rPr>
          <w:rFonts w:ascii="Times New Roman" w:cs="Times New Roman" w:eastAsia="Times New Roman" w:hAnsi="Times New Roman"/>
          <w:sz w:val="24"/>
          <w:szCs w:val="24"/>
          <w:i w:val="1"/>
          <w:iCs w:val="1"/>
          <w:color w:val="auto"/>
        </w:rPr>
        <w:t>Good Corporate Governance</w:t>
      </w:r>
      <w:r>
        <w:rPr>
          <w:rFonts w:ascii="Times New Roman" w:cs="Times New Roman" w:eastAsia="Times New Roman" w:hAnsi="Times New Roman"/>
          <w:sz w:val="24"/>
          <w:szCs w:val="24"/>
          <w:color w:val="auto"/>
        </w:rPr>
        <w:t>) yang terdiri dari 6 Aspek Penerapan GCG, 43 Indikator, dan 153 Parameter, serta Faktor-faktor yang diuji Kesesuaian Penerapannya sebanyak 568 Faktor Uji Kesesuaian (FUK).</w:t>
      </w:r>
    </w:p>
    <w:p>
      <w:pPr>
        <w:spacing w:after="0" w:line="3" w:lineRule="exact"/>
        <w:rPr>
          <w:sz w:val="20"/>
          <w:szCs w:val="20"/>
          <w:color w:val="auto"/>
        </w:rPr>
      </w:pPr>
    </w:p>
    <w:p>
      <w:pPr>
        <w:ind w:left="1120"/>
        <w:spacing w:after="0"/>
        <w:rPr>
          <w:sz w:val="20"/>
          <w:szCs w:val="20"/>
          <w:color w:val="auto"/>
        </w:rPr>
      </w:pPr>
      <w:r>
        <w:rPr>
          <w:rFonts w:ascii="Times New Roman" w:cs="Times New Roman" w:eastAsia="Times New Roman" w:hAnsi="Times New Roman"/>
          <w:sz w:val="24"/>
          <w:szCs w:val="24"/>
          <w:color w:val="auto"/>
        </w:rPr>
        <w:t>Keenam Aspek tersebut terdiri dari:</w:t>
      </w:r>
    </w:p>
    <w:p>
      <w:pPr>
        <w:spacing w:after="0" w:line="151" w:lineRule="exact"/>
        <w:rPr>
          <w:sz w:val="20"/>
          <w:szCs w:val="20"/>
          <w:color w:val="auto"/>
        </w:rPr>
      </w:pPr>
    </w:p>
    <w:p>
      <w:pPr>
        <w:ind w:left="1480" w:right="270" w:hanging="369"/>
        <w:spacing w:after="0" w:line="348" w:lineRule="auto"/>
        <w:tabs>
          <w:tab w:leader="none" w:pos="1480" w:val="left"/>
        </w:tabs>
        <w:numPr>
          <w:ilvl w:val="1"/>
          <w:numId w:val="1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Komitmen terhadap Penerapan Tata kelola Perusahaan yang baik secara berkelanjutan;</w:t>
      </w:r>
    </w:p>
    <w:p>
      <w:pPr>
        <w:spacing w:after="0" w:line="15" w:lineRule="exact"/>
        <w:rPr>
          <w:rFonts w:ascii="Times New Roman" w:cs="Times New Roman" w:eastAsia="Times New Roman" w:hAnsi="Times New Roman"/>
          <w:sz w:val="24"/>
          <w:szCs w:val="24"/>
          <w:color w:val="auto"/>
        </w:rPr>
      </w:pPr>
    </w:p>
    <w:p>
      <w:pPr>
        <w:ind w:left="1480" w:hanging="369"/>
        <w:spacing w:after="0"/>
        <w:tabs>
          <w:tab w:leader="none" w:pos="1480" w:val="left"/>
        </w:tabs>
        <w:numPr>
          <w:ilvl w:val="1"/>
          <w:numId w:val="1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Pemegang Saham dan RUPS;</w:t>
      </w:r>
    </w:p>
    <w:p>
      <w:pPr>
        <w:spacing w:after="0" w:line="136" w:lineRule="exact"/>
        <w:rPr>
          <w:rFonts w:ascii="Times New Roman" w:cs="Times New Roman" w:eastAsia="Times New Roman" w:hAnsi="Times New Roman"/>
          <w:sz w:val="24"/>
          <w:szCs w:val="24"/>
          <w:color w:val="auto"/>
        </w:rPr>
      </w:pPr>
    </w:p>
    <w:p>
      <w:pPr>
        <w:ind w:left="1540" w:hanging="429"/>
        <w:spacing w:after="0"/>
        <w:tabs>
          <w:tab w:leader="none" w:pos="1540" w:val="left"/>
        </w:tabs>
        <w:numPr>
          <w:ilvl w:val="1"/>
          <w:numId w:val="1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Dewan Komisaris;</w:t>
      </w:r>
    </w:p>
    <w:p>
      <w:pPr>
        <w:spacing w:after="0" w:line="139" w:lineRule="exact"/>
        <w:rPr>
          <w:rFonts w:ascii="Times New Roman" w:cs="Times New Roman" w:eastAsia="Times New Roman" w:hAnsi="Times New Roman"/>
          <w:sz w:val="24"/>
          <w:szCs w:val="24"/>
          <w:color w:val="auto"/>
        </w:rPr>
      </w:pPr>
    </w:p>
    <w:p>
      <w:pPr>
        <w:ind w:left="1540" w:hanging="429"/>
        <w:spacing w:after="0"/>
        <w:tabs>
          <w:tab w:leader="none" w:pos="1540" w:val="left"/>
        </w:tabs>
        <w:numPr>
          <w:ilvl w:val="1"/>
          <w:numId w:val="1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Direksi;</w:t>
      </w:r>
    </w:p>
    <w:p>
      <w:pPr>
        <w:spacing w:after="0" w:line="136" w:lineRule="exact"/>
        <w:rPr>
          <w:rFonts w:ascii="Times New Roman" w:cs="Times New Roman" w:eastAsia="Times New Roman" w:hAnsi="Times New Roman"/>
          <w:sz w:val="24"/>
          <w:szCs w:val="24"/>
          <w:color w:val="auto"/>
        </w:rPr>
      </w:pPr>
    </w:p>
    <w:p>
      <w:pPr>
        <w:ind w:left="1480" w:hanging="369"/>
        <w:spacing w:after="0"/>
        <w:tabs>
          <w:tab w:leader="none" w:pos="1480" w:val="left"/>
        </w:tabs>
        <w:numPr>
          <w:ilvl w:val="1"/>
          <w:numId w:val="1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Pengungkapan Informasi &amp; Transparansi; dan</w:t>
      </w:r>
    </w:p>
    <w:p>
      <w:pPr>
        <w:spacing w:after="0" w:line="139" w:lineRule="exact"/>
        <w:rPr>
          <w:rFonts w:ascii="Times New Roman" w:cs="Times New Roman" w:eastAsia="Times New Roman" w:hAnsi="Times New Roman"/>
          <w:sz w:val="24"/>
          <w:szCs w:val="24"/>
          <w:color w:val="auto"/>
        </w:rPr>
      </w:pPr>
    </w:p>
    <w:p>
      <w:pPr>
        <w:ind w:left="1480" w:hanging="369"/>
        <w:spacing w:after="0"/>
        <w:tabs>
          <w:tab w:leader="none" w:pos="1480" w:val="left"/>
        </w:tabs>
        <w:numPr>
          <w:ilvl w:val="1"/>
          <w:numId w:val="1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Lainnya.</w:t>
      </w:r>
    </w:p>
    <w:p>
      <w:pPr>
        <w:spacing w:after="0" w:line="200" w:lineRule="exact"/>
        <w:rPr>
          <w:rFonts w:ascii="Times New Roman" w:cs="Times New Roman" w:eastAsia="Times New Roman" w:hAnsi="Times New Roman"/>
          <w:sz w:val="24"/>
          <w:szCs w:val="24"/>
          <w:color w:val="auto"/>
        </w:rPr>
      </w:pPr>
    </w:p>
    <w:p>
      <w:pPr>
        <w:spacing w:after="0" w:line="222" w:lineRule="exact"/>
        <w:rPr>
          <w:rFonts w:ascii="Times New Roman" w:cs="Times New Roman" w:eastAsia="Times New Roman" w:hAnsi="Times New Roman"/>
          <w:sz w:val="24"/>
          <w:szCs w:val="24"/>
          <w:color w:val="auto"/>
        </w:rPr>
      </w:pPr>
    </w:p>
    <w:p>
      <w:pPr>
        <w:ind w:left="820"/>
        <w:spacing w:after="0"/>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b w:val="1"/>
          <w:bCs w:val="1"/>
          <w:color w:val="auto"/>
        </w:rPr>
        <w:t>H. ROADMAP PT TASPEN (PERSERO) 2014 – 2029</w:t>
      </w:r>
    </w:p>
    <w:p>
      <w:pPr>
        <w:spacing w:after="0" w:line="200" w:lineRule="exact"/>
        <w:rPr>
          <w:sz w:val="20"/>
          <w:szCs w:val="20"/>
          <w:color w:val="auto"/>
        </w:rPr>
      </w:pPr>
    </w:p>
    <w:p>
      <w:pPr>
        <w:spacing w:after="0" w:line="227" w:lineRule="exact"/>
        <w:rPr>
          <w:sz w:val="20"/>
          <w:szCs w:val="20"/>
          <w:color w:val="auto"/>
        </w:rPr>
      </w:pPr>
    </w:p>
    <w:p>
      <w:pPr>
        <w:jc w:val="both"/>
        <w:ind w:left="1120" w:right="270" w:firstLine="437"/>
        <w:spacing w:after="0" w:line="357" w:lineRule="auto"/>
        <w:rPr>
          <w:sz w:val="20"/>
          <w:szCs w:val="20"/>
          <w:color w:val="auto"/>
        </w:rPr>
      </w:pPr>
      <w:r>
        <w:rPr>
          <w:rFonts w:ascii="Times New Roman" w:cs="Times New Roman" w:eastAsia="Times New Roman" w:hAnsi="Times New Roman"/>
          <w:sz w:val="24"/>
          <w:szCs w:val="24"/>
          <w:i w:val="1"/>
          <w:iCs w:val="1"/>
          <w:color w:val="auto"/>
        </w:rPr>
        <w:t xml:space="preserve">Roadmap </w:t>
      </w:r>
      <w:r>
        <w:rPr>
          <w:rFonts w:ascii="Times New Roman" w:cs="Times New Roman" w:eastAsia="Times New Roman" w:hAnsi="Times New Roman"/>
          <w:sz w:val="24"/>
          <w:szCs w:val="24"/>
          <w:color w:val="auto"/>
        </w:rPr>
        <w:t>PT TASPEN (Persero) 2014 -2029 ini merupakan wujud tekad</w:t>
      </w:r>
      <w:r>
        <w:rPr>
          <w:rFonts w:ascii="Times New Roman" w:cs="Times New Roman" w:eastAsia="Times New Roman" w:hAnsi="Times New Roman"/>
          <w:sz w:val="24"/>
          <w:szCs w:val="24"/>
          <w:i w:val="1"/>
          <w:iCs w:val="1"/>
          <w:color w:val="auto"/>
        </w:rPr>
        <w:t xml:space="preserve"> </w:t>
      </w:r>
      <w:r>
        <w:rPr>
          <w:rFonts w:ascii="Times New Roman" w:cs="Times New Roman" w:eastAsia="Times New Roman" w:hAnsi="Times New Roman"/>
          <w:sz w:val="24"/>
          <w:szCs w:val="24"/>
          <w:color w:val="auto"/>
        </w:rPr>
        <w:t xml:space="preserve">Taspen untuk tetap sebagai Penyelenggara Jaminan Sosial bagi seluruh Aparatur Sipil Negara (ASN) dan Pejabat Negara. </w:t>
      </w:r>
      <w:r>
        <w:rPr>
          <w:rFonts w:ascii="Times New Roman" w:cs="Times New Roman" w:eastAsia="Times New Roman" w:hAnsi="Times New Roman"/>
          <w:sz w:val="24"/>
          <w:szCs w:val="24"/>
          <w:i w:val="1"/>
          <w:iCs w:val="1"/>
          <w:color w:val="auto"/>
        </w:rPr>
        <w:t>Roadmap</w:t>
      </w:r>
      <w:r>
        <w:rPr>
          <w:rFonts w:ascii="Times New Roman" w:cs="Times New Roman" w:eastAsia="Times New Roman" w:hAnsi="Times New Roman"/>
          <w:sz w:val="24"/>
          <w:szCs w:val="24"/>
          <w:color w:val="auto"/>
        </w:rPr>
        <w:t xml:space="preserve"> ini menjadi acuan dan panduan untuk langkah strategis dan serangkaian kegiatan dalam upaya transformasi bisnis PT TASPEN (Persero) menjadi </w:t>
      </w:r>
      <w:r>
        <w:rPr>
          <w:rFonts w:ascii="Times New Roman" w:cs="Times New Roman" w:eastAsia="Times New Roman" w:hAnsi="Times New Roman"/>
          <w:sz w:val="24"/>
          <w:szCs w:val="24"/>
          <w:i w:val="1"/>
          <w:iCs w:val="1"/>
          <w:color w:val="auto"/>
        </w:rPr>
        <w:t>The First Class</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i w:val="1"/>
          <w:iCs w:val="1"/>
          <w:color w:val="auto"/>
        </w:rPr>
        <w:t xml:space="preserve">Company </w:t>
      </w:r>
      <w:r>
        <w:rPr>
          <w:rFonts w:ascii="Times New Roman" w:cs="Times New Roman" w:eastAsia="Times New Roman" w:hAnsi="Times New Roman"/>
          <w:sz w:val="24"/>
          <w:szCs w:val="24"/>
          <w:color w:val="auto"/>
        </w:rPr>
        <w:t>dalam mensejahterakan pegawai ASN dan Pejabat Negara</w:t>
      </w:r>
    </w:p>
    <w:p>
      <w:pPr>
        <w:spacing w:after="0" w:line="21" w:lineRule="exact"/>
        <w:rPr>
          <w:sz w:val="20"/>
          <w:szCs w:val="20"/>
          <w:color w:val="auto"/>
        </w:rPr>
      </w:pPr>
    </w:p>
    <w:p>
      <w:pPr>
        <w:jc w:val="both"/>
        <w:ind w:left="1120" w:right="270" w:firstLine="437"/>
        <w:spacing w:after="0" w:line="358" w:lineRule="auto"/>
        <w:rPr>
          <w:sz w:val="20"/>
          <w:szCs w:val="20"/>
          <w:color w:val="auto"/>
        </w:rPr>
      </w:pPr>
      <w:r>
        <w:rPr>
          <w:rFonts w:ascii="Times New Roman" w:cs="Times New Roman" w:eastAsia="Times New Roman" w:hAnsi="Times New Roman"/>
          <w:sz w:val="24"/>
          <w:szCs w:val="24"/>
          <w:color w:val="auto"/>
        </w:rPr>
        <w:t>PT TASPEN (Persero) yang selama ini menyelenggarakan program Tabungan Hari Tua dan program Pensiun bagi ASN dan Pejabat Negara sangat berbeda dengan jaminan sosial sebagaimana diatur dalam Undang-Undang Nomor 40 tahun 2004 tentang Sistem Jaminan Sosial Nasional. Selain itu, Pegawai ASN dan Pejabat Negara sebagai aparatur pelayanan publik memiliki profil yang unik serta memperoleh hak dan penghargaan jaminan sosial yang tidak diatur dalam Undang-Undang tentang Sistem Jaminan Sosial Nasional.</w:t>
      </w:r>
    </w:p>
    <w:p>
      <w:pPr>
        <w:sectPr>
          <w:pgSz w:w="11920" w:h="16845" w:orient="portrait"/>
          <w:cols w:equalWidth="0" w:num="1">
            <w:col w:w="9030"/>
          </w:cols>
          <w:pgMar w:left="1440" w:top="1440" w:right="1440" w:bottom="1440" w:gutter="0" w:footer="0" w:header="0"/>
        </w:sectPr>
      </w:pPr>
    </w:p>
    <w:p>
      <w:pPr>
        <w:spacing w:after="0" w:line="266" w:lineRule="exact"/>
        <w:rPr>
          <w:sz w:val="20"/>
          <w:szCs w:val="20"/>
          <w:color w:val="auto"/>
        </w:rPr>
      </w:pPr>
    </w:p>
    <w:p>
      <w:pPr>
        <w:jc w:val="both"/>
        <w:ind w:left="1120" w:right="270" w:firstLine="437"/>
        <w:spacing w:after="0" w:line="358" w:lineRule="auto"/>
        <w:rPr>
          <w:sz w:val="20"/>
          <w:szCs w:val="20"/>
          <w:color w:val="auto"/>
        </w:rPr>
      </w:pPr>
      <w:r>
        <w:rPr>
          <w:rFonts w:ascii="Times New Roman" w:cs="Times New Roman" w:eastAsia="Times New Roman" w:hAnsi="Times New Roman"/>
          <w:sz w:val="24"/>
          <w:szCs w:val="24"/>
          <w:color w:val="auto"/>
        </w:rPr>
        <w:t xml:space="preserve">Dengan pengalaman lebih dari 51 tahun mengelola program Tabungan Hari Tua dan lebih dari 29 tahun mengelola pembayaran pensiun bagi Pegawai Negeri Sipil, keberadaan PT TASPEN (Persero) sangat identik dengan Pegawai ASN dan Pejabat Negara. Untuk itu penyusunan </w:t>
      </w:r>
      <w:r>
        <w:rPr>
          <w:rFonts w:ascii="Times New Roman" w:cs="Times New Roman" w:eastAsia="Times New Roman" w:hAnsi="Times New Roman"/>
          <w:sz w:val="24"/>
          <w:szCs w:val="24"/>
          <w:i w:val="1"/>
          <w:iCs w:val="1"/>
          <w:color w:val="auto"/>
        </w:rPr>
        <w:t>roadmap</w:t>
      </w:r>
      <w:r>
        <w:rPr>
          <w:rFonts w:ascii="Times New Roman" w:cs="Times New Roman" w:eastAsia="Times New Roman" w:hAnsi="Times New Roman"/>
          <w:sz w:val="24"/>
          <w:szCs w:val="24"/>
          <w:color w:val="auto"/>
        </w:rPr>
        <w:t xml:space="preserve"> ini diselaraskan dengan peraturan turunan Undang-Undang Nomor 5 Tahun 2014 tentang Aparatur Sipil Negara, khususnya Pasal 91 ayat (6) yang mengatur ketentuan lebih lanjut mengenai pengelolaan program Jaminan Pensiun dan Jaminan Hari Tua PNS diatur dalam Peraturan Pemerintah.</w:t>
      </w:r>
    </w:p>
    <w:p>
      <w:pPr>
        <w:spacing w:after="0" w:line="19" w:lineRule="exact"/>
        <w:rPr>
          <w:sz w:val="20"/>
          <w:szCs w:val="20"/>
          <w:color w:val="auto"/>
        </w:rPr>
      </w:pPr>
    </w:p>
    <w:p>
      <w:pPr>
        <w:jc w:val="both"/>
        <w:ind w:left="1120" w:right="270" w:firstLine="437"/>
        <w:spacing w:after="0" w:line="357" w:lineRule="auto"/>
        <w:rPr>
          <w:sz w:val="20"/>
          <w:szCs w:val="20"/>
          <w:color w:val="auto"/>
        </w:rPr>
      </w:pPr>
      <w:r>
        <w:rPr>
          <w:rFonts w:ascii="Times New Roman" w:cs="Times New Roman" w:eastAsia="Times New Roman" w:hAnsi="Times New Roman"/>
          <w:sz w:val="24"/>
          <w:szCs w:val="24"/>
          <w:color w:val="auto"/>
        </w:rPr>
        <w:t>Eksistensi PT TASPEN (Persero) sebagai badan yang akan mengelola program Jaminan Pensiun, Jaminan Hari Tua, Jaminan Kecelakaan Kerja, Jaminan Kematian, serta jaminan sosial lainnya bagi ASN dan Pejabat Negara akan dipertahankan dengan tujuan untuk meningkatkan kesejahteraan ASN dan Pejabat Negara pada masa purnabakti serta berupaya meringankan beban APBN melalui restrukturisasi program Jaminan Pensiun dan Jaminan Hari Tua.</w:t>
      </w:r>
    </w:p>
    <w:p>
      <w:pPr>
        <w:spacing w:after="0" w:line="292" w:lineRule="exact"/>
        <w:rPr>
          <w:sz w:val="20"/>
          <w:szCs w:val="20"/>
          <w:color w:val="auto"/>
        </w:rPr>
      </w:pPr>
    </w:p>
    <w:p>
      <w:pPr>
        <w:ind w:left="1120"/>
        <w:spacing w:after="0"/>
        <w:rPr>
          <w:sz w:val="20"/>
          <w:szCs w:val="20"/>
          <w:color w:val="auto"/>
        </w:rPr>
      </w:pPr>
      <w:r>
        <w:rPr>
          <w:rFonts w:ascii="Times New Roman" w:cs="Times New Roman" w:eastAsia="Times New Roman" w:hAnsi="Times New Roman"/>
          <w:sz w:val="24"/>
          <w:szCs w:val="24"/>
          <w:b w:val="1"/>
          <w:bCs w:val="1"/>
          <w:u w:val="single" w:color="auto"/>
          <w:color w:val="auto"/>
        </w:rPr>
        <w:t>Gambar roadmap PT TASPEN (PERSERO)</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152400</wp:posOffset>
            </wp:positionH>
            <wp:positionV relativeFrom="paragraph">
              <wp:posOffset>93345</wp:posOffset>
            </wp:positionV>
            <wp:extent cx="6088380" cy="38284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6088380" cy="3828415"/>
                    </a:xfrm>
                    <a:prstGeom prst="rect">
                      <a:avLst/>
                    </a:prstGeom>
                    <a:noFill/>
                  </pic:spPr>
                </pic:pic>
              </a:graphicData>
            </a:graphic>
          </wp:anchor>
        </w:drawing>
      </w:r>
    </w:p>
    <w:p>
      <w:pPr>
        <w:sectPr>
          <w:pgSz w:w="11920" w:h="16845" w:orient="portrait"/>
          <w:cols w:equalWidth="0" w:num="1">
            <w:col w:w="9030"/>
          </w:cols>
          <w:pgMar w:left="1440" w:top="1440" w:right="1440" w:bottom="1440" w:gutter="0" w:footer="0" w:header="0"/>
        </w:sectPr>
      </w:pPr>
    </w:p>
    <w:p>
      <w:pPr>
        <w:spacing w:after="0" w:line="259" w:lineRule="exact"/>
        <w:rPr>
          <w:sz w:val="20"/>
          <w:szCs w:val="20"/>
          <w:color w:val="auto"/>
        </w:rPr>
      </w:pPr>
    </w:p>
    <w:p>
      <w:pPr>
        <w:ind w:left="1120"/>
        <w:spacing w:after="0"/>
        <w:rPr>
          <w:sz w:val="20"/>
          <w:szCs w:val="20"/>
          <w:color w:val="auto"/>
        </w:rPr>
      </w:pPr>
      <w:r>
        <w:rPr>
          <w:rFonts w:ascii="Times New Roman" w:cs="Times New Roman" w:eastAsia="Times New Roman" w:hAnsi="Times New Roman"/>
          <w:sz w:val="24"/>
          <w:szCs w:val="24"/>
          <w:b w:val="1"/>
          <w:bCs w:val="1"/>
          <w:u w:val="single" w:color="auto"/>
          <w:color w:val="auto"/>
        </w:rPr>
        <w:t>Keterangan:</w:t>
      </w:r>
    </w:p>
    <w:p>
      <w:pPr>
        <w:spacing w:after="0" w:line="144" w:lineRule="exact"/>
        <w:rPr>
          <w:sz w:val="20"/>
          <w:szCs w:val="20"/>
          <w:color w:val="auto"/>
        </w:rPr>
      </w:pPr>
    </w:p>
    <w:p>
      <w:pPr>
        <w:jc w:val="both"/>
        <w:ind w:left="1120" w:right="270"/>
        <w:spacing w:after="0" w:line="359" w:lineRule="auto"/>
        <w:rPr>
          <w:sz w:val="20"/>
          <w:szCs w:val="20"/>
          <w:color w:val="auto"/>
        </w:rPr>
      </w:pPr>
      <w:r>
        <w:rPr>
          <w:rFonts w:ascii="Times New Roman" w:cs="Times New Roman" w:eastAsia="Times New Roman" w:hAnsi="Times New Roman"/>
          <w:sz w:val="24"/>
          <w:szCs w:val="24"/>
          <w:b w:val="1"/>
          <w:bCs w:val="1"/>
          <w:color w:val="auto"/>
        </w:rPr>
        <w:t xml:space="preserve">Bagian Pertama Roadmap </w:t>
      </w:r>
      <w:r>
        <w:rPr>
          <w:rFonts w:ascii="Times New Roman" w:cs="Times New Roman" w:eastAsia="Times New Roman" w:hAnsi="Times New Roman"/>
          <w:sz w:val="24"/>
          <w:szCs w:val="24"/>
          <w:color w:val="auto"/>
        </w:rPr>
        <w:t>merupakan pemetaan kondisi PT TASPEN</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 xml:space="preserve">(Persero) saat ini baik dari sisi peraturan perundangan, teknis operasional, pelayanan peserta, kinerja dan penghargaan yang telah dicapai selama ini serta kesan baik terhadap PT TASPEN (Persero) dari pihak internal melalui </w:t>
      </w:r>
      <w:r>
        <w:rPr>
          <w:rFonts w:ascii="Times New Roman" w:cs="Times New Roman" w:eastAsia="Times New Roman" w:hAnsi="Times New Roman"/>
          <w:sz w:val="24"/>
          <w:szCs w:val="24"/>
          <w:i w:val="1"/>
          <w:iCs w:val="1"/>
          <w:color w:val="auto"/>
        </w:rPr>
        <w:t>Indepth</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i w:val="1"/>
          <w:iCs w:val="1"/>
          <w:color w:val="auto"/>
        </w:rPr>
        <w:t xml:space="preserve">Interview </w:t>
      </w:r>
      <w:r>
        <w:rPr>
          <w:rFonts w:ascii="Times New Roman" w:cs="Times New Roman" w:eastAsia="Times New Roman" w:hAnsi="Times New Roman"/>
          <w:sz w:val="24"/>
          <w:szCs w:val="24"/>
          <w:color w:val="auto"/>
        </w:rPr>
        <w:t>maupun dari pihak eksternal melalui</w:t>
      </w:r>
      <w:r>
        <w:rPr>
          <w:rFonts w:ascii="Times New Roman" w:cs="Times New Roman" w:eastAsia="Times New Roman" w:hAnsi="Times New Roman"/>
          <w:sz w:val="24"/>
          <w:szCs w:val="24"/>
          <w:i w:val="1"/>
          <w:iCs w:val="1"/>
          <w:color w:val="auto"/>
        </w:rPr>
        <w:t xml:space="preserve"> Focus Group Discussion </w:t>
      </w:r>
      <w:r>
        <w:rPr>
          <w:rFonts w:ascii="Times New Roman" w:cs="Times New Roman" w:eastAsia="Times New Roman" w:hAnsi="Times New Roman"/>
          <w:sz w:val="24"/>
          <w:szCs w:val="24"/>
          <w:color w:val="auto"/>
        </w:rPr>
        <w:t>termasuk harapan-harapan peningkatan pelayanan PT TASPEN (Persero) di masa mendatang. Melalui pemetaan kondisi PT TASPEN (Persero) selama ini terbangun justifikasi yang memberikan arah strategis penyusunan Roadmap termasuk kelompok kegiatan dan langkah yang perlu ditempuh dalam memenuhi amanat UU SJSN dan UU BPJS serta merealisasikan pernyataan Menteri Keuangan sebagaimana dikemukakan diatas dengan mengacu pada UU ASN.</w:t>
      </w:r>
    </w:p>
    <w:p>
      <w:pPr>
        <w:spacing w:after="0" w:line="7" w:lineRule="exact"/>
        <w:rPr>
          <w:sz w:val="20"/>
          <w:szCs w:val="20"/>
          <w:color w:val="auto"/>
        </w:rPr>
      </w:pPr>
    </w:p>
    <w:p>
      <w:pPr>
        <w:ind w:left="1120"/>
        <w:spacing w:after="0"/>
        <w:rPr>
          <w:sz w:val="20"/>
          <w:szCs w:val="20"/>
          <w:color w:val="auto"/>
        </w:rPr>
      </w:pPr>
      <w:r>
        <w:rPr>
          <w:rFonts w:ascii="Times New Roman" w:cs="Times New Roman" w:eastAsia="Times New Roman" w:hAnsi="Times New Roman"/>
          <w:sz w:val="24"/>
          <w:szCs w:val="24"/>
          <w:b w:val="1"/>
          <w:bCs w:val="1"/>
          <w:i w:val="1"/>
          <w:iCs w:val="1"/>
          <w:u w:val="single" w:color="auto"/>
          <w:color w:val="auto"/>
        </w:rPr>
        <w:t>Kondisi PT TASPEN (Persero) saat ini</w:t>
      </w:r>
    </w:p>
    <w:p>
      <w:pPr>
        <w:spacing w:after="0" w:line="147" w:lineRule="exact"/>
        <w:rPr>
          <w:sz w:val="20"/>
          <w:szCs w:val="20"/>
          <w:color w:val="auto"/>
        </w:rPr>
      </w:pPr>
    </w:p>
    <w:p>
      <w:pPr>
        <w:jc w:val="both"/>
        <w:ind w:left="1120" w:right="270" w:firstLine="497"/>
        <w:spacing w:after="0" w:line="348" w:lineRule="auto"/>
        <w:rPr>
          <w:sz w:val="20"/>
          <w:szCs w:val="20"/>
          <w:color w:val="auto"/>
        </w:rPr>
      </w:pPr>
      <w:r>
        <w:rPr>
          <w:rFonts w:ascii="Times New Roman" w:cs="Times New Roman" w:eastAsia="Times New Roman" w:hAnsi="Times New Roman"/>
          <w:sz w:val="24"/>
          <w:szCs w:val="24"/>
          <w:color w:val="auto"/>
        </w:rPr>
        <w:t>Berikut ini adalah permassalahan yang dihadapi oleh PT TASPEN (Persero) dilihat dari berbagai aspek.</w:t>
      </w:r>
    </w:p>
    <w:p>
      <w:pPr>
        <w:spacing w:after="0" w:line="20" w:lineRule="exact"/>
        <w:rPr>
          <w:sz w:val="20"/>
          <w:szCs w:val="20"/>
          <w:color w:val="auto"/>
        </w:rPr>
      </w:pPr>
    </w:p>
    <w:p>
      <w:pPr>
        <w:ind w:left="1960" w:hanging="352"/>
        <w:spacing w:after="0"/>
        <w:tabs>
          <w:tab w:leader="none" w:pos="1960" w:val="left"/>
        </w:tabs>
        <w:numPr>
          <w:ilvl w:val="0"/>
          <w:numId w:val="14"/>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Perundangan</w:t>
      </w:r>
    </w:p>
    <w:p>
      <w:pPr>
        <w:spacing w:after="0" w:line="144" w:lineRule="exact"/>
        <w:rPr>
          <w:rFonts w:ascii="Times New Roman" w:cs="Times New Roman" w:eastAsia="Times New Roman" w:hAnsi="Times New Roman"/>
          <w:sz w:val="24"/>
          <w:szCs w:val="24"/>
          <w:b w:val="1"/>
          <w:bCs w:val="1"/>
          <w:color w:val="auto"/>
        </w:rPr>
      </w:pPr>
    </w:p>
    <w:p>
      <w:pPr>
        <w:ind w:left="2320" w:right="270" w:hanging="352"/>
        <w:spacing w:after="0" w:line="361" w:lineRule="auto"/>
        <w:tabs>
          <w:tab w:leader="none" w:pos="2320" w:val="left"/>
        </w:tabs>
        <w:numPr>
          <w:ilvl w:val="1"/>
          <w:numId w:val="1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Kesulitan dalam memenuhi ketentuan UU SJSN dan UU BPJS. PT TASPEN (Persero) dalam pelaksanaan pengelolaan jaminan hari tua dituntut mengacu UU SJSN dan UU BPJS. Padahal prinsip pengelolaannya Jaminan Hari Tua pada PT TASPEN berbeda dengan BPJS. JHT yang dikelola oleh PT TASPEN diperuntukkan bagi aparatur sipil negara, sedangkan BPJS Ketenagakerjaan diperuntukkan bagi tenaga kerja perusahaan swasta.</w:t>
      </w:r>
    </w:p>
    <w:p>
      <w:pPr>
        <w:spacing w:after="0" w:line="200" w:lineRule="exact"/>
        <w:rPr>
          <w:rFonts w:ascii="Times New Roman" w:cs="Times New Roman" w:eastAsia="Times New Roman" w:hAnsi="Times New Roman"/>
          <w:sz w:val="24"/>
          <w:szCs w:val="24"/>
          <w:color w:val="auto"/>
        </w:rPr>
      </w:pPr>
    </w:p>
    <w:p>
      <w:pPr>
        <w:spacing w:after="0" w:line="208" w:lineRule="exact"/>
        <w:rPr>
          <w:rFonts w:ascii="Times New Roman" w:cs="Times New Roman" w:eastAsia="Times New Roman" w:hAnsi="Times New Roman"/>
          <w:sz w:val="24"/>
          <w:szCs w:val="24"/>
          <w:color w:val="auto"/>
        </w:rPr>
      </w:pPr>
    </w:p>
    <w:p>
      <w:pPr>
        <w:jc w:val="both"/>
        <w:ind w:left="2320" w:right="270" w:hanging="352"/>
        <w:spacing w:after="0" w:line="354" w:lineRule="auto"/>
        <w:tabs>
          <w:tab w:leader="none" w:pos="2320" w:val="left"/>
        </w:tabs>
        <w:numPr>
          <w:ilvl w:val="1"/>
          <w:numId w:val="1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Kesulitan-kesulitan substansial lainnya, seperti : kerahasiaan negara diabaikan jika pengelolaan JHT untuk ASN di gabungkan dengan BPJS Ketenagakerjaan.</w:t>
      </w:r>
    </w:p>
    <w:p>
      <w:pPr>
        <w:spacing w:after="0" w:line="19" w:lineRule="exact"/>
        <w:rPr>
          <w:rFonts w:ascii="Times New Roman" w:cs="Times New Roman" w:eastAsia="Times New Roman" w:hAnsi="Times New Roman"/>
          <w:sz w:val="24"/>
          <w:szCs w:val="24"/>
          <w:color w:val="auto"/>
        </w:rPr>
      </w:pPr>
    </w:p>
    <w:p>
      <w:pPr>
        <w:jc w:val="both"/>
        <w:ind w:left="2320" w:right="270" w:hanging="352"/>
        <w:spacing w:after="0" w:line="356" w:lineRule="auto"/>
        <w:tabs>
          <w:tab w:leader="none" w:pos="2320" w:val="left"/>
        </w:tabs>
        <w:numPr>
          <w:ilvl w:val="1"/>
          <w:numId w:val="1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 xml:space="preserve">Banyak komponen operasional pada PT TASPEN yang tidak bisa dialihkan ke BPJS Ketenagakerjaan yang mencakup antara lain </w:t>
      </w:r>
      <w:r>
        <w:rPr>
          <w:rFonts w:ascii="Times New Roman" w:cs="Times New Roman" w:eastAsia="Times New Roman" w:hAnsi="Times New Roman"/>
          <w:sz w:val="24"/>
          <w:szCs w:val="24"/>
          <w:i w:val="1"/>
          <w:iCs w:val="1"/>
          <w:color w:val="auto"/>
        </w:rPr>
        <w:t>fund management system</w:t>
      </w:r>
      <w:r>
        <w:rPr>
          <w:rFonts w:ascii="Times New Roman" w:cs="Times New Roman" w:eastAsia="Times New Roman" w:hAnsi="Times New Roman"/>
          <w:sz w:val="24"/>
          <w:szCs w:val="24"/>
          <w:color w:val="auto"/>
        </w:rPr>
        <w:t>, mekanisme operasional, jaringan PT</w:t>
      </w:r>
      <w:r>
        <w:rPr>
          <w:rFonts w:ascii="Times New Roman" w:cs="Times New Roman" w:eastAsia="Times New Roman" w:hAnsi="Times New Roman"/>
          <w:sz w:val="24"/>
          <w:szCs w:val="24"/>
          <w:i w:val="1"/>
          <w:iCs w:val="1"/>
          <w:color w:val="auto"/>
        </w:rPr>
        <w:t xml:space="preserve"> </w:t>
      </w:r>
      <w:r>
        <w:rPr>
          <w:rFonts w:ascii="Times New Roman" w:cs="Times New Roman" w:eastAsia="Times New Roman" w:hAnsi="Times New Roman"/>
          <w:sz w:val="24"/>
          <w:szCs w:val="24"/>
          <w:color w:val="auto"/>
        </w:rPr>
        <w:t>TASPEN (Persero) dan mitra kerja yang menyebar luas dan</w:t>
      </w:r>
    </w:p>
    <w:p>
      <w:pPr>
        <w:sectPr>
          <w:pgSz w:w="11920" w:h="16845" w:orient="portrait"/>
          <w:cols w:equalWidth="0" w:num="1">
            <w:col w:w="9030"/>
          </w:cols>
          <w:pgMar w:left="1440" w:top="1440" w:right="1440" w:bottom="1440" w:gutter="0" w:footer="0" w:header="0"/>
        </w:sectPr>
      </w:pPr>
    </w:p>
    <w:p>
      <w:pPr>
        <w:spacing w:after="0" w:line="266" w:lineRule="exact"/>
        <w:rPr>
          <w:sz w:val="20"/>
          <w:szCs w:val="20"/>
          <w:color w:val="auto"/>
        </w:rPr>
      </w:pPr>
    </w:p>
    <w:p>
      <w:pPr>
        <w:ind w:left="2320" w:right="270"/>
        <w:spacing w:after="0" w:line="348" w:lineRule="auto"/>
        <w:rPr>
          <w:sz w:val="20"/>
          <w:szCs w:val="20"/>
          <w:color w:val="auto"/>
        </w:rPr>
      </w:pPr>
      <w:r>
        <w:rPr>
          <w:rFonts w:ascii="Times New Roman" w:cs="Times New Roman" w:eastAsia="Times New Roman" w:hAnsi="Times New Roman"/>
          <w:sz w:val="24"/>
          <w:szCs w:val="24"/>
          <w:color w:val="auto"/>
        </w:rPr>
        <w:t>pelayanan peserta proaktif mendatangi peserta yang sudah tua dan sakit.</w:t>
      </w:r>
    </w:p>
    <w:p>
      <w:pPr>
        <w:spacing w:after="0" w:line="20" w:lineRule="exact"/>
        <w:rPr>
          <w:sz w:val="20"/>
          <w:szCs w:val="20"/>
          <w:color w:val="auto"/>
        </w:rPr>
      </w:pPr>
    </w:p>
    <w:p>
      <w:pPr>
        <w:ind w:left="1960" w:hanging="352"/>
        <w:spacing w:after="0"/>
        <w:tabs>
          <w:tab w:leader="none" w:pos="1960" w:val="left"/>
        </w:tabs>
        <w:numPr>
          <w:ilvl w:val="0"/>
          <w:numId w:val="15"/>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Kepesertaan dan Pelayanan</w:t>
      </w:r>
    </w:p>
    <w:p>
      <w:pPr>
        <w:spacing w:after="0" w:line="144" w:lineRule="exact"/>
        <w:rPr>
          <w:rFonts w:ascii="Times New Roman" w:cs="Times New Roman" w:eastAsia="Times New Roman" w:hAnsi="Times New Roman"/>
          <w:sz w:val="24"/>
          <w:szCs w:val="24"/>
          <w:b w:val="1"/>
          <w:bCs w:val="1"/>
          <w:color w:val="auto"/>
        </w:rPr>
      </w:pPr>
    </w:p>
    <w:p>
      <w:pPr>
        <w:jc w:val="both"/>
        <w:ind w:left="1960" w:right="270"/>
        <w:spacing w:after="0" w:line="356" w:lineRule="auto"/>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color w:val="auto"/>
        </w:rPr>
        <w:t>Jumlah peserta yang tercakup dalam program THT dalam 10 tahun terakhir yang terhitung sejak tahun 2004 hingga tahun 2013 mengalami penurunan disebabkan karena adanya ketentuan pemerintah mengenai penghentian penambahan peserta baru.</w:t>
      </w:r>
    </w:p>
    <w:p>
      <w:pPr>
        <w:spacing w:after="0" w:line="6" w:lineRule="exact"/>
        <w:rPr>
          <w:rFonts w:ascii="Times New Roman" w:cs="Times New Roman" w:eastAsia="Times New Roman" w:hAnsi="Times New Roman"/>
          <w:sz w:val="24"/>
          <w:szCs w:val="24"/>
          <w:b w:val="1"/>
          <w:bCs w:val="1"/>
          <w:color w:val="auto"/>
        </w:rPr>
      </w:pPr>
    </w:p>
    <w:p>
      <w:pPr>
        <w:ind w:left="1960"/>
        <w:spacing w:after="0"/>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i w:val="1"/>
          <w:iCs w:val="1"/>
          <w:color w:val="auto"/>
        </w:rPr>
        <w:t>Grafik perkembangan peserta THT 2004-2013</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1179830</wp:posOffset>
            </wp:positionH>
            <wp:positionV relativeFrom="paragraph">
              <wp:posOffset>86995</wp:posOffset>
            </wp:positionV>
            <wp:extent cx="4317365" cy="307213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4317365" cy="307213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2" w:lineRule="exact"/>
        <w:rPr>
          <w:sz w:val="20"/>
          <w:szCs w:val="20"/>
          <w:color w:val="auto"/>
        </w:rPr>
      </w:pPr>
    </w:p>
    <w:p>
      <w:pPr>
        <w:ind w:left="1960" w:hanging="352"/>
        <w:spacing w:after="0"/>
        <w:tabs>
          <w:tab w:leader="none" w:pos="1960" w:val="left"/>
        </w:tabs>
        <w:numPr>
          <w:ilvl w:val="0"/>
          <w:numId w:val="16"/>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Program</w:t>
      </w:r>
    </w:p>
    <w:p>
      <w:pPr>
        <w:spacing w:after="0" w:line="146" w:lineRule="exact"/>
        <w:rPr>
          <w:rFonts w:ascii="Times New Roman" w:cs="Times New Roman" w:eastAsia="Times New Roman" w:hAnsi="Times New Roman"/>
          <w:sz w:val="24"/>
          <w:szCs w:val="24"/>
          <w:b w:val="1"/>
          <w:bCs w:val="1"/>
          <w:color w:val="auto"/>
        </w:rPr>
      </w:pPr>
    </w:p>
    <w:p>
      <w:pPr>
        <w:ind w:left="1960" w:right="270"/>
        <w:spacing w:after="0" w:line="348" w:lineRule="auto"/>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color w:val="auto"/>
        </w:rPr>
        <w:t>Permasalahan yang dihadapi PT TASPEN (Persero) terkait dengan aspek program meliputi:</w:t>
      </w:r>
    </w:p>
    <w:p>
      <w:pPr>
        <w:spacing w:after="0" w:line="27" w:lineRule="exact"/>
        <w:rPr>
          <w:rFonts w:ascii="Times New Roman" w:cs="Times New Roman" w:eastAsia="Times New Roman" w:hAnsi="Times New Roman"/>
          <w:sz w:val="24"/>
          <w:szCs w:val="24"/>
          <w:b w:val="1"/>
          <w:bCs w:val="1"/>
          <w:color w:val="auto"/>
        </w:rPr>
      </w:pPr>
    </w:p>
    <w:p>
      <w:pPr>
        <w:jc w:val="both"/>
        <w:ind w:left="2320" w:right="270" w:hanging="352"/>
        <w:spacing w:after="0" w:line="356" w:lineRule="auto"/>
        <w:tabs>
          <w:tab w:leader="none" w:pos="2320" w:val="left"/>
        </w:tabs>
        <w:numPr>
          <w:ilvl w:val="1"/>
          <w:numId w:val="1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program jaminan sosial dari PT TASPEN terkadang meugikan PT TASPEN sendiri karena adanya piutang PSL yang belum dibayarkan oleh pemeintah sehingga perusahaan harus menalangi pembayaran klim yang telah jatuh tempo.</w:t>
      </w:r>
    </w:p>
    <w:p>
      <w:pPr>
        <w:spacing w:after="0" w:line="18" w:lineRule="exact"/>
        <w:rPr>
          <w:rFonts w:ascii="Times New Roman" w:cs="Times New Roman" w:eastAsia="Times New Roman" w:hAnsi="Times New Roman"/>
          <w:sz w:val="24"/>
          <w:szCs w:val="24"/>
          <w:color w:val="auto"/>
        </w:rPr>
      </w:pPr>
    </w:p>
    <w:p>
      <w:pPr>
        <w:ind w:left="2320" w:right="270" w:hanging="352"/>
        <w:spacing w:after="0" w:line="348" w:lineRule="auto"/>
        <w:tabs>
          <w:tab w:leader="none" w:pos="2320" w:val="left"/>
        </w:tabs>
        <w:numPr>
          <w:ilvl w:val="1"/>
          <w:numId w:val="1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manfaat dari program yang dijalankan oleh PT TASPEN kurang dirasakan oleh ASN karena masih jauh dari harapannya.</w:t>
      </w:r>
    </w:p>
    <w:p>
      <w:pPr>
        <w:spacing w:after="0" w:line="20" w:lineRule="exact"/>
        <w:rPr>
          <w:rFonts w:ascii="Times New Roman" w:cs="Times New Roman" w:eastAsia="Times New Roman" w:hAnsi="Times New Roman"/>
          <w:sz w:val="24"/>
          <w:szCs w:val="24"/>
          <w:color w:val="auto"/>
        </w:rPr>
      </w:pPr>
    </w:p>
    <w:p>
      <w:pPr>
        <w:ind w:left="1960" w:hanging="352"/>
        <w:spacing w:after="0"/>
        <w:tabs>
          <w:tab w:leader="none" w:pos="1960" w:val="left"/>
        </w:tabs>
        <w:numPr>
          <w:ilvl w:val="0"/>
          <w:numId w:val="16"/>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Pengembangan Usaha</w:t>
      </w:r>
    </w:p>
    <w:p>
      <w:pPr>
        <w:spacing w:after="0" w:line="144" w:lineRule="exact"/>
        <w:rPr>
          <w:rFonts w:ascii="Times New Roman" w:cs="Times New Roman" w:eastAsia="Times New Roman" w:hAnsi="Times New Roman"/>
          <w:sz w:val="24"/>
          <w:szCs w:val="24"/>
          <w:b w:val="1"/>
          <w:bCs w:val="1"/>
          <w:color w:val="auto"/>
        </w:rPr>
      </w:pPr>
    </w:p>
    <w:p>
      <w:pPr>
        <w:ind w:left="1960" w:right="270"/>
        <w:spacing w:after="0" w:line="350" w:lineRule="auto"/>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color w:val="auto"/>
        </w:rPr>
        <w:t>Permasalahan yang dihadapi olh PT TASPEN (Persero) terkait dengan aspek pengembangan usaha meliputi:</w:t>
      </w:r>
    </w:p>
    <w:p>
      <w:pPr>
        <w:sectPr>
          <w:pgSz w:w="11920" w:h="16845" w:orient="portrait"/>
          <w:cols w:equalWidth="0" w:num="1">
            <w:col w:w="9030"/>
          </w:cols>
          <w:pgMar w:left="1440" w:top="1440" w:right="1440" w:bottom="1440" w:gutter="0" w:footer="0" w:header="0"/>
        </w:sectPr>
      </w:pPr>
    </w:p>
    <w:p>
      <w:pPr>
        <w:spacing w:after="0" w:line="254" w:lineRule="exact"/>
        <w:rPr>
          <w:sz w:val="20"/>
          <w:szCs w:val="20"/>
          <w:color w:val="auto"/>
        </w:rPr>
      </w:pPr>
    </w:p>
    <w:p>
      <w:pPr>
        <w:ind w:left="2320" w:hanging="352"/>
        <w:spacing w:after="0"/>
        <w:tabs>
          <w:tab w:leader="none" w:pos="2320" w:val="left"/>
        </w:tabs>
        <w:numPr>
          <w:ilvl w:val="1"/>
          <w:numId w:val="1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Ruang gerak dalam pengembangan bisnis masih terbatas.</w:t>
      </w:r>
    </w:p>
    <w:p>
      <w:pPr>
        <w:spacing w:after="0" w:line="148" w:lineRule="exact"/>
        <w:rPr>
          <w:rFonts w:ascii="Times New Roman" w:cs="Times New Roman" w:eastAsia="Times New Roman" w:hAnsi="Times New Roman"/>
          <w:sz w:val="24"/>
          <w:szCs w:val="24"/>
          <w:color w:val="auto"/>
        </w:rPr>
      </w:pPr>
    </w:p>
    <w:p>
      <w:pPr>
        <w:ind w:left="2320" w:right="270" w:hanging="352"/>
        <w:spacing w:after="0" w:line="350" w:lineRule="auto"/>
        <w:tabs>
          <w:tab w:leader="none" w:pos="2320" w:val="left"/>
        </w:tabs>
        <w:numPr>
          <w:ilvl w:val="1"/>
          <w:numId w:val="1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infrastruktur, organisasi, dan SDM yang tersedia belum memadai dalam mengembangkan usaha.</w:t>
      </w:r>
    </w:p>
    <w:p>
      <w:pPr>
        <w:spacing w:after="0" w:line="10"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1"/>
          <w:numId w:val="1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diperlukan budaya kerja baru yang berorientasi terhadap bisnis.</w:t>
      </w:r>
    </w:p>
    <w:p>
      <w:pPr>
        <w:spacing w:after="0" w:line="144" w:lineRule="exact"/>
        <w:rPr>
          <w:rFonts w:ascii="Times New Roman" w:cs="Times New Roman" w:eastAsia="Times New Roman" w:hAnsi="Times New Roman"/>
          <w:sz w:val="24"/>
          <w:szCs w:val="24"/>
          <w:color w:val="auto"/>
        </w:rPr>
      </w:pPr>
    </w:p>
    <w:p>
      <w:pPr>
        <w:ind w:left="1960" w:hanging="352"/>
        <w:spacing w:after="0"/>
        <w:tabs>
          <w:tab w:leader="none" w:pos="1960" w:val="left"/>
        </w:tabs>
        <w:numPr>
          <w:ilvl w:val="0"/>
          <w:numId w:val="17"/>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Proses Bisnis dan TI</w:t>
      </w:r>
    </w:p>
    <w:p>
      <w:pPr>
        <w:spacing w:after="0" w:line="144" w:lineRule="exact"/>
        <w:rPr>
          <w:rFonts w:ascii="Times New Roman" w:cs="Times New Roman" w:eastAsia="Times New Roman" w:hAnsi="Times New Roman"/>
          <w:sz w:val="24"/>
          <w:szCs w:val="24"/>
          <w:b w:val="1"/>
          <w:bCs w:val="1"/>
          <w:color w:val="auto"/>
        </w:rPr>
      </w:pPr>
    </w:p>
    <w:p>
      <w:pPr>
        <w:ind w:left="1960" w:right="270"/>
        <w:spacing w:after="0" w:line="350" w:lineRule="auto"/>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color w:val="auto"/>
        </w:rPr>
        <w:t>Permasalahan terkait dengan aspek Proses bisnis dan TI yang dihadapi oleh PT TASPEN (Persero) meliputi:</w:t>
      </w:r>
    </w:p>
    <w:p>
      <w:pPr>
        <w:spacing w:after="0" w:line="10" w:lineRule="exact"/>
        <w:rPr>
          <w:rFonts w:ascii="Times New Roman" w:cs="Times New Roman" w:eastAsia="Times New Roman" w:hAnsi="Times New Roman"/>
          <w:sz w:val="24"/>
          <w:szCs w:val="24"/>
          <w:b w:val="1"/>
          <w:bCs w:val="1"/>
          <w:color w:val="auto"/>
        </w:rPr>
      </w:pPr>
    </w:p>
    <w:p>
      <w:pPr>
        <w:ind w:left="2320" w:hanging="352"/>
        <w:spacing w:after="0"/>
        <w:tabs>
          <w:tab w:leader="none" w:pos="2320" w:val="left"/>
        </w:tabs>
        <w:numPr>
          <w:ilvl w:val="1"/>
          <w:numId w:val="1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Proses bisnis dan TI belum sepenuhnya terintegrasi.</w:t>
      </w:r>
    </w:p>
    <w:p>
      <w:pPr>
        <w:spacing w:after="0" w:line="151" w:lineRule="exact"/>
        <w:rPr>
          <w:rFonts w:ascii="Times New Roman" w:cs="Times New Roman" w:eastAsia="Times New Roman" w:hAnsi="Times New Roman"/>
          <w:sz w:val="24"/>
          <w:szCs w:val="24"/>
          <w:color w:val="auto"/>
        </w:rPr>
      </w:pPr>
    </w:p>
    <w:p>
      <w:pPr>
        <w:ind w:left="2320" w:right="270" w:hanging="352"/>
        <w:spacing w:after="0" w:line="348" w:lineRule="auto"/>
        <w:tabs>
          <w:tab w:leader="none" w:pos="2320" w:val="left"/>
        </w:tabs>
        <w:numPr>
          <w:ilvl w:val="1"/>
          <w:numId w:val="1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Proses bisnis dan TI PT TASPEN (Persero) belum optimal terintegrasi dengan mitra kerja.</w:t>
      </w:r>
    </w:p>
    <w:p>
      <w:pPr>
        <w:spacing w:after="0" w:line="27" w:lineRule="exact"/>
        <w:rPr>
          <w:rFonts w:ascii="Times New Roman" w:cs="Times New Roman" w:eastAsia="Times New Roman" w:hAnsi="Times New Roman"/>
          <w:sz w:val="24"/>
          <w:szCs w:val="24"/>
          <w:color w:val="auto"/>
        </w:rPr>
      </w:pPr>
    </w:p>
    <w:p>
      <w:pPr>
        <w:jc w:val="both"/>
        <w:ind w:left="2320" w:right="270" w:hanging="352"/>
        <w:spacing w:after="0" w:line="354" w:lineRule="auto"/>
        <w:tabs>
          <w:tab w:leader="none" w:pos="2320" w:val="left"/>
        </w:tabs>
        <w:numPr>
          <w:ilvl w:val="1"/>
          <w:numId w:val="1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Proses bisnis an TI belum memadai karena melum sepenuhnya memberikan kenyamanan dan transparansi pelayanan kepada para peserta.</w:t>
      </w:r>
    </w:p>
    <w:p>
      <w:pPr>
        <w:spacing w:after="0" w:line="12" w:lineRule="exact"/>
        <w:rPr>
          <w:rFonts w:ascii="Times New Roman" w:cs="Times New Roman" w:eastAsia="Times New Roman" w:hAnsi="Times New Roman"/>
          <w:sz w:val="24"/>
          <w:szCs w:val="24"/>
          <w:color w:val="auto"/>
        </w:rPr>
      </w:pPr>
    </w:p>
    <w:p>
      <w:pPr>
        <w:ind w:left="1960" w:hanging="352"/>
        <w:spacing w:after="0"/>
        <w:tabs>
          <w:tab w:leader="none" w:pos="1960" w:val="left"/>
        </w:tabs>
        <w:numPr>
          <w:ilvl w:val="0"/>
          <w:numId w:val="17"/>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Organisasi dan SDM</w:t>
      </w:r>
    </w:p>
    <w:p>
      <w:pPr>
        <w:spacing w:after="0" w:line="146" w:lineRule="exact"/>
        <w:rPr>
          <w:rFonts w:ascii="Times New Roman" w:cs="Times New Roman" w:eastAsia="Times New Roman" w:hAnsi="Times New Roman"/>
          <w:sz w:val="24"/>
          <w:szCs w:val="24"/>
          <w:b w:val="1"/>
          <w:bCs w:val="1"/>
          <w:color w:val="auto"/>
        </w:rPr>
      </w:pPr>
    </w:p>
    <w:p>
      <w:pPr>
        <w:ind w:left="1960" w:right="270"/>
        <w:spacing w:after="0" w:line="348" w:lineRule="auto"/>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color w:val="auto"/>
        </w:rPr>
        <w:t>Permasalahan terkai dengan aspek organisasi dan SDM yang dihadapi oleh PT TASPEN (Persero) meliputi :</w:t>
      </w:r>
    </w:p>
    <w:p>
      <w:pPr>
        <w:spacing w:after="0" w:line="15" w:lineRule="exact"/>
        <w:rPr>
          <w:rFonts w:ascii="Times New Roman" w:cs="Times New Roman" w:eastAsia="Times New Roman" w:hAnsi="Times New Roman"/>
          <w:sz w:val="24"/>
          <w:szCs w:val="24"/>
          <w:b w:val="1"/>
          <w:bCs w:val="1"/>
          <w:color w:val="auto"/>
        </w:rPr>
      </w:pPr>
    </w:p>
    <w:p>
      <w:pPr>
        <w:ind w:left="2320" w:hanging="352"/>
        <w:spacing w:after="0"/>
        <w:tabs>
          <w:tab w:leader="none" w:pos="2320" w:val="left"/>
        </w:tabs>
        <w:numPr>
          <w:ilvl w:val="1"/>
          <w:numId w:val="1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Perubahan budaya kerja</w:t>
      </w:r>
    </w:p>
    <w:p>
      <w:pPr>
        <w:spacing w:after="0" w:line="148" w:lineRule="exact"/>
        <w:rPr>
          <w:rFonts w:ascii="Times New Roman" w:cs="Times New Roman" w:eastAsia="Times New Roman" w:hAnsi="Times New Roman"/>
          <w:sz w:val="24"/>
          <w:szCs w:val="24"/>
          <w:color w:val="auto"/>
        </w:rPr>
      </w:pPr>
    </w:p>
    <w:p>
      <w:pPr>
        <w:jc w:val="both"/>
        <w:ind w:left="2320" w:right="270"/>
        <w:spacing w:after="0" w:line="358" w:lineRule="auto"/>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 xml:space="preserve">Budaya kerja PT TASPEN (Persero) selama ini menggunakan budaya kerja yang berlandaskan </w:t>
      </w:r>
      <w:r>
        <w:rPr>
          <w:rFonts w:ascii="Times New Roman" w:cs="Times New Roman" w:eastAsia="Times New Roman" w:hAnsi="Times New Roman"/>
          <w:sz w:val="24"/>
          <w:szCs w:val="24"/>
          <w:i w:val="1"/>
          <w:iCs w:val="1"/>
          <w:color w:val="auto"/>
        </w:rPr>
        <w:t>service based</w:t>
      </w:r>
      <w:r>
        <w:rPr>
          <w:rFonts w:ascii="Times New Roman" w:cs="Times New Roman" w:eastAsia="Times New Roman" w:hAnsi="Times New Roman"/>
          <w:sz w:val="24"/>
          <w:szCs w:val="24"/>
          <w:color w:val="auto"/>
        </w:rPr>
        <w:t xml:space="preserve"> sehingga cenderung mengabaikan tingkat profit yang diterima. Peserta yang diperoleh merupakan ASN yang memang sudah terdaftar sebagai penerima jaminan sosial, usaha perekrutan peserta baru belum dilakukan dengan optimal. Oleh karena itu, budaya kerja perlu diubah menjadi budaya kerja business minded yang menerapkan competitive edge.</w:t>
      </w:r>
    </w:p>
    <w:p>
      <w:pPr>
        <w:spacing w:after="0" w:line="8"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1"/>
          <w:numId w:val="1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Perbaikan komposisi usia SDM</w:t>
      </w:r>
    </w:p>
    <w:p>
      <w:pPr>
        <w:spacing w:after="0" w:line="136" w:lineRule="exact"/>
        <w:rPr>
          <w:rFonts w:ascii="Times New Roman" w:cs="Times New Roman" w:eastAsia="Times New Roman" w:hAnsi="Times New Roman"/>
          <w:sz w:val="24"/>
          <w:szCs w:val="24"/>
          <w:color w:val="auto"/>
        </w:rPr>
      </w:pPr>
    </w:p>
    <w:p>
      <w:pPr>
        <w:ind w:left="2320"/>
        <w:spacing w:after="0"/>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i w:val="1"/>
          <w:iCs w:val="1"/>
          <w:color w:val="auto"/>
        </w:rPr>
        <w:t>Grafik komposisi pegawai berdasarkan usia</w:t>
      </w:r>
    </w:p>
    <w:p>
      <w:pPr>
        <w:sectPr>
          <w:pgSz w:w="11920" w:h="16845" w:orient="portrait"/>
          <w:cols w:equalWidth="0" w:num="1">
            <w:col w:w="9030"/>
          </w:cols>
          <w:pgMar w:left="1440" w:top="1440" w:right="1440" w:bottom="1440"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2392680</wp:posOffset>
            </wp:positionH>
            <wp:positionV relativeFrom="page">
              <wp:posOffset>1080770</wp:posOffset>
            </wp:positionV>
            <wp:extent cx="4029710" cy="21018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clrChange>
                        <a:clrFrom>
                          <a:srgbClr val="FFFFFF"/>
                        </a:clrFrom>
                        <a:clrTo>
                          <a:srgbClr val="FFFFFF">
                            <a:alpha val="0"/>
                          </a:srgbClr>
                        </a:clrTo>
                      </a:clrChange>
                      <a:extLst>
                        <a:ext uri="{28A0092B-C50C-407E-A947-70E740481C1C}"/>
                      </a:extLst>
                    </a:blip>
                    <a:srcRect/>
                    <a:stretch>
                      <a:fillRect/>
                    </a:stretch>
                  </pic:blipFill>
                  <pic:spPr bwMode="auto">
                    <a:xfrm>
                      <a:off x="0" y="0"/>
                      <a:ext cx="4029710" cy="210185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3" w:lineRule="exact"/>
        <w:rPr>
          <w:sz w:val="20"/>
          <w:szCs w:val="20"/>
          <w:color w:val="auto"/>
        </w:rPr>
      </w:pPr>
    </w:p>
    <w:p>
      <w:pPr>
        <w:ind w:left="2320" w:right="270"/>
        <w:spacing w:after="0" w:line="350" w:lineRule="auto"/>
        <w:rPr>
          <w:sz w:val="20"/>
          <w:szCs w:val="20"/>
          <w:color w:val="auto"/>
        </w:rPr>
      </w:pPr>
      <w:r>
        <w:rPr>
          <w:rFonts w:ascii="Times New Roman" w:cs="Times New Roman" w:eastAsia="Times New Roman" w:hAnsi="Times New Roman"/>
          <w:sz w:val="24"/>
          <w:szCs w:val="24"/>
          <w:color w:val="auto"/>
        </w:rPr>
        <w:t>Kondisi SDM PT TASPEN (Persero) jika dilihat dari faktor usia maka, terlihat bahwa banyak pegawai yang berada pada usia 46-</w:t>
      </w:r>
    </w:p>
    <w:p>
      <w:pPr>
        <w:spacing w:after="0" w:line="23" w:lineRule="exact"/>
        <w:rPr>
          <w:sz w:val="20"/>
          <w:szCs w:val="20"/>
          <w:color w:val="auto"/>
        </w:rPr>
      </w:pPr>
    </w:p>
    <w:p>
      <w:pPr>
        <w:jc w:val="both"/>
        <w:ind w:left="2320" w:right="270"/>
        <w:spacing w:after="0" w:line="356" w:lineRule="auto"/>
        <w:rPr>
          <w:sz w:val="20"/>
          <w:szCs w:val="20"/>
          <w:color w:val="auto"/>
        </w:rPr>
      </w:pPr>
      <w:r>
        <w:rPr>
          <w:rFonts w:ascii="Times New Roman" w:cs="Times New Roman" w:eastAsia="Times New Roman" w:hAnsi="Times New Roman"/>
          <w:sz w:val="24"/>
          <w:szCs w:val="24"/>
          <w:color w:val="auto"/>
        </w:rPr>
        <w:t>50. Usia yang hampir memasuki masa pensiun. Tingkat inovasi dalam bekerja dalam usia seperti itu cenderung menurun. Oleh karena itu diperlkan regenerasi SDM dengan pegawai usia muda yang tentunya lebih produktif dan inovatif.</w:t>
      </w:r>
    </w:p>
    <w:p>
      <w:pPr>
        <w:spacing w:after="0" w:line="11" w:lineRule="exact"/>
        <w:rPr>
          <w:sz w:val="20"/>
          <w:szCs w:val="20"/>
          <w:color w:val="auto"/>
        </w:rPr>
      </w:pPr>
    </w:p>
    <w:p>
      <w:pPr>
        <w:ind w:left="1960" w:hanging="352"/>
        <w:spacing w:after="0"/>
        <w:tabs>
          <w:tab w:leader="none" w:pos="1960" w:val="left"/>
        </w:tabs>
        <w:numPr>
          <w:ilvl w:val="0"/>
          <w:numId w:val="18"/>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Manajemen Keuangan dan Investasi</w:t>
      </w:r>
    </w:p>
    <w:p>
      <w:pPr>
        <w:spacing w:after="0" w:line="146" w:lineRule="exact"/>
        <w:rPr>
          <w:rFonts w:ascii="Times New Roman" w:cs="Times New Roman" w:eastAsia="Times New Roman" w:hAnsi="Times New Roman"/>
          <w:sz w:val="24"/>
          <w:szCs w:val="24"/>
          <w:b w:val="1"/>
          <w:bCs w:val="1"/>
          <w:color w:val="auto"/>
        </w:rPr>
      </w:pPr>
    </w:p>
    <w:p>
      <w:pPr>
        <w:ind w:left="1960" w:right="270"/>
        <w:spacing w:after="0" w:line="348" w:lineRule="auto"/>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color w:val="auto"/>
        </w:rPr>
        <w:t>Beberapa masalah yang dihadapi PT TASPEN (Persero) terkait dengan keuangan dan investasi meliputi :</w:t>
      </w:r>
    </w:p>
    <w:p>
      <w:pPr>
        <w:spacing w:after="0" w:line="27" w:lineRule="exact"/>
        <w:rPr>
          <w:rFonts w:ascii="Times New Roman" w:cs="Times New Roman" w:eastAsia="Times New Roman" w:hAnsi="Times New Roman"/>
          <w:sz w:val="24"/>
          <w:szCs w:val="24"/>
          <w:b w:val="1"/>
          <w:bCs w:val="1"/>
          <w:color w:val="auto"/>
        </w:rPr>
      </w:pPr>
    </w:p>
    <w:p>
      <w:pPr>
        <w:ind w:left="2320" w:right="270" w:hanging="352"/>
        <w:spacing w:after="0" w:line="350" w:lineRule="auto"/>
        <w:tabs>
          <w:tab w:leader="none" w:pos="2320" w:val="left"/>
        </w:tabs>
        <w:numPr>
          <w:ilvl w:val="1"/>
          <w:numId w:val="1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Dana iuran untuk THT ASN yang semestinya dibayarkan oleh pemerintah seringkali terlambat.</w:t>
      </w:r>
    </w:p>
    <w:p>
      <w:pPr>
        <w:spacing w:after="0" w:line="25" w:lineRule="exact"/>
        <w:rPr>
          <w:rFonts w:ascii="Times New Roman" w:cs="Times New Roman" w:eastAsia="Times New Roman" w:hAnsi="Times New Roman"/>
          <w:sz w:val="24"/>
          <w:szCs w:val="24"/>
          <w:color w:val="auto"/>
        </w:rPr>
      </w:pPr>
    </w:p>
    <w:p>
      <w:pPr>
        <w:jc w:val="both"/>
        <w:ind w:left="2320" w:right="270" w:hanging="352"/>
        <w:spacing w:after="0" w:line="354" w:lineRule="auto"/>
        <w:tabs>
          <w:tab w:leader="none" w:pos="2320" w:val="left"/>
        </w:tabs>
        <w:numPr>
          <w:ilvl w:val="1"/>
          <w:numId w:val="1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Kondisi keuangan belum stabil untuk jangka panjang karena piutang dana iuran THT dari pemerintah, sehingga PT TASPEN (Persero) harus menalangi pembayaran THT kepada ASN.</w:t>
      </w:r>
    </w:p>
    <w:p>
      <w:pPr>
        <w:spacing w:after="0" w:line="12" w:lineRule="exact"/>
        <w:rPr>
          <w:rFonts w:ascii="Times New Roman" w:cs="Times New Roman" w:eastAsia="Times New Roman" w:hAnsi="Times New Roman"/>
          <w:sz w:val="24"/>
          <w:szCs w:val="24"/>
          <w:color w:val="auto"/>
        </w:rPr>
      </w:pPr>
    </w:p>
    <w:p>
      <w:pPr>
        <w:ind w:left="1960" w:hanging="352"/>
        <w:spacing w:after="0"/>
        <w:tabs>
          <w:tab w:leader="none" w:pos="1960" w:val="left"/>
        </w:tabs>
        <w:numPr>
          <w:ilvl w:val="0"/>
          <w:numId w:val="18"/>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Sosialisasi dan Advokasi</w:t>
      </w:r>
    </w:p>
    <w:p>
      <w:pPr>
        <w:spacing w:after="0" w:line="146" w:lineRule="exact"/>
        <w:rPr>
          <w:rFonts w:ascii="Times New Roman" w:cs="Times New Roman" w:eastAsia="Times New Roman" w:hAnsi="Times New Roman"/>
          <w:sz w:val="24"/>
          <w:szCs w:val="24"/>
          <w:b w:val="1"/>
          <w:bCs w:val="1"/>
          <w:color w:val="auto"/>
        </w:rPr>
      </w:pPr>
    </w:p>
    <w:p>
      <w:pPr>
        <w:jc w:val="both"/>
        <w:ind w:left="2320" w:right="270" w:hanging="352"/>
        <w:spacing w:after="0" w:line="354" w:lineRule="auto"/>
        <w:tabs>
          <w:tab w:leader="none" w:pos="2320" w:val="left"/>
        </w:tabs>
        <w:numPr>
          <w:ilvl w:val="1"/>
          <w:numId w:val="18"/>
        </w:numPr>
        <w:rPr>
          <w:rFonts w:ascii="Times New Roman" w:cs="Times New Roman" w:eastAsia="Times New Roman" w:hAnsi="Times New Roman"/>
          <w:sz w:val="20"/>
          <w:szCs w:val="20"/>
          <w:color w:val="auto"/>
        </w:rPr>
      </w:pPr>
      <w:r>
        <w:rPr>
          <w:rFonts w:ascii="Times New Roman" w:cs="Times New Roman" w:eastAsia="Times New Roman" w:hAnsi="Times New Roman"/>
          <w:sz w:val="24"/>
          <w:szCs w:val="24"/>
          <w:color w:val="auto"/>
        </w:rPr>
        <w:t>kegiatan sosialisasi dan advokasi yag ditempuh selama ini masih lemah. Oleh sebab itu perlu secara aktif dan lebih agresif melakukan upaya sosialisasi dan advokasi.</w:t>
      </w:r>
    </w:p>
    <w:p>
      <w:pPr>
        <w:spacing w:after="0" w:line="365" w:lineRule="exact"/>
        <w:rPr>
          <w:sz w:val="20"/>
          <w:szCs w:val="20"/>
          <w:color w:val="auto"/>
        </w:rPr>
      </w:pPr>
    </w:p>
    <w:p>
      <w:pPr>
        <w:jc w:val="both"/>
        <w:ind w:left="1120" w:right="250"/>
        <w:spacing w:after="0" w:line="357" w:lineRule="auto"/>
        <w:rPr>
          <w:sz w:val="20"/>
          <w:szCs w:val="20"/>
          <w:color w:val="auto"/>
        </w:rPr>
      </w:pPr>
      <w:r>
        <w:rPr>
          <w:rFonts w:ascii="Times New Roman" w:cs="Times New Roman" w:eastAsia="Times New Roman" w:hAnsi="Times New Roman"/>
          <w:sz w:val="24"/>
          <w:szCs w:val="24"/>
          <w:b w:val="1"/>
          <w:bCs w:val="1"/>
          <w:color w:val="auto"/>
        </w:rPr>
        <w:t xml:space="preserve">Bagian Kedua Roadmap </w:t>
      </w:r>
      <w:r>
        <w:rPr>
          <w:rFonts w:ascii="Times New Roman" w:cs="Times New Roman" w:eastAsia="Times New Roman" w:hAnsi="Times New Roman"/>
          <w:sz w:val="24"/>
          <w:szCs w:val="24"/>
          <w:color w:val="auto"/>
        </w:rPr>
        <w:t>merupakan pemaparan langkah-langkah strategis</w:t>
      </w:r>
      <w:r>
        <w:rPr>
          <w:rFonts w:ascii="Times New Roman" w:cs="Times New Roman" w:eastAsia="Times New Roman" w:hAnsi="Times New Roman"/>
          <w:sz w:val="24"/>
          <w:szCs w:val="24"/>
          <w:b w:val="1"/>
          <w:bCs w:val="1"/>
          <w:color w:val="auto"/>
        </w:rPr>
        <w:t xml:space="preserve"> </w:t>
      </w:r>
      <w:r>
        <w:rPr>
          <w:rFonts w:ascii="Times New Roman" w:cs="Times New Roman" w:eastAsia="Times New Roman" w:hAnsi="Times New Roman"/>
          <w:sz w:val="24"/>
          <w:szCs w:val="24"/>
          <w:color w:val="auto"/>
        </w:rPr>
        <w:t xml:space="preserve">yang perlu ditempuh untuk memperkuat landasan hukum eksistensi PT TASPEN (Persero) tetap mengelola Jaminan Sosial PNS dan Pejabat Negara yang selaras dengan UU SJSN dan UU BPJS serta landasan hukum perluasan usaha untuk menjadi </w:t>
      </w:r>
      <w:r>
        <w:rPr>
          <w:rFonts w:ascii="Times New Roman" w:cs="Times New Roman" w:eastAsia="Times New Roman" w:hAnsi="Times New Roman"/>
          <w:sz w:val="24"/>
          <w:szCs w:val="24"/>
          <w:i w:val="1"/>
          <w:iCs w:val="1"/>
          <w:color w:val="auto"/>
        </w:rPr>
        <w:t>The First Class Company</w:t>
      </w:r>
      <w:r>
        <w:rPr>
          <w:rFonts w:ascii="Times New Roman" w:cs="Times New Roman" w:eastAsia="Times New Roman" w:hAnsi="Times New Roman"/>
          <w:sz w:val="24"/>
          <w:szCs w:val="24"/>
          <w:color w:val="auto"/>
        </w:rPr>
        <w:t xml:space="preserve"> yang terpercaya oleh pesertanya</w:t>
      </w:r>
    </w:p>
    <w:p>
      <w:pPr>
        <w:sectPr>
          <w:pgSz w:w="11920" w:h="16845" w:orient="portrait"/>
          <w:cols w:equalWidth="0" w:num="1">
            <w:col w:w="9030"/>
          </w:cols>
          <w:pgMar w:left="1440" w:top="1440" w:right="1440" w:bottom="1440" w:gutter="0" w:footer="0" w:header="0"/>
        </w:sectPr>
      </w:pPr>
    </w:p>
    <w:p>
      <w:pPr>
        <w:spacing w:after="0" w:line="266" w:lineRule="exact"/>
        <w:rPr>
          <w:sz w:val="20"/>
          <w:szCs w:val="20"/>
          <w:color w:val="auto"/>
        </w:rPr>
      </w:pPr>
    </w:p>
    <w:p>
      <w:pPr>
        <w:jc w:val="both"/>
        <w:ind w:left="1120" w:right="270"/>
        <w:spacing w:after="0" w:line="358" w:lineRule="auto"/>
        <w:rPr>
          <w:sz w:val="20"/>
          <w:szCs w:val="20"/>
          <w:color w:val="auto"/>
        </w:rPr>
      </w:pPr>
      <w:r>
        <w:rPr>
          <w:rFonts w:ascii="Times New Roman" w:cs="Times New Roman" w:eastAsia="Times New Roman" w:hAnsi="Times New Roman"/>
          <w:sz w:val="24"/>
          <w:szCs w:val="24"/>
          <w:color w:val="auto"/>
        </w:rPr>
        <w:t xml:space="preserve">dan </w:t>
      </w:r>
      <w:r>
        <w:rPr>
          <w:rFonts w:ascii="Times New Roman" w:cs="Times New Roman" w:eastAsia="Times New Roman" w:hAnsi="Times New Roman"/>
          <w:sz w:val="24"/>
          <w:szCs w:val="24"/>
          <w:i w:val="1"/>
          <w:iCs w:val="1"/>
          <w:color w:val="auto"/>
        </w:rPr>
        <w:t>stakeholder</w:t>
      </w:r>
      <w:r>
        <w:rPr>
          <w:rFonts w:ascii="Times New Roman" w:cs="Times New Roman" w:eastAsia="Times New Roman" w:hAnsi="Times New Roman"/>
          <w:sz w:val="24"/>
          <w:szCs w:val="24"/>
          <w:color w:val="auto"/>
        </w:rPr>
        <w:t xml:space="preserve"> lainnya. Dalam bagian ini juga digambarkan langkah-langkah dan tahapan-tahapan strategis PT TASPEN (Persero) di masa mendatang dalam rangka mewujudkan perusahaan yang memiliki kondisi keuangan yang kuat dan terus berkembang secara berkelanjutan. Dalam bagian kedua Roadmap ini diuraikan aspek-aspek operasional PT TASPEN (Persero) dimasa mendatang termasuk antara lain aspek perundangan, kepesertaan dan pelayanan, program Jaminan Sosial peserta, organisasi dan SDM, proses bisnis dan TI, keuangan dan investasi, sosialisasi-advokasi, kerangka pelaksanaan serta kunci sukses dan potensi hambatan yang mungkin akan dihadapi</w:t>
      </w:r>
      <w:r>
        <w:rPr>
          <w:rFonts w:ascii="Arial" w:cs="Arial" w:eastAsia="Arial" w:hAnsi="Arial"/>
          <w:sz w:val="19"/>
          <w:szCs w:val="19"/>
          <w:color w:val="auto"/>
        </w:rPr>
        <w:t>.</w:t>
      </w:r>
    </w:p>
    <w:p>
      <w:pPr>
        <w:spacing w:after="0" w:line="370" w:lineRule="exact"/>
        <w:rPr>
          <w:sz w:val="20"/>
          <w:szCs w:val="20"/>
          <w:color w:val="auto"/>
        </w:rPr>
      </w:pPr>
    </w:p>
    <w:p>
      <w:pPr>
        <w:ind w:left="1120" w:right="270" w:hanging="282"/>
        <w:spacing w:after="0" w:line="348" w:lineRule="auto"/>
        <w:rPr>
          <w:sz w:val="20"/>
          <w:szCs w:val="20"/>
          <w:color w:val="auto"/>
        </w:rPr>
      </w:pPr>
      <w:r>
        <w:rPr>
          <w:rFonts w:ascii="Times New Roman" w:cs="Times New Roman" w:eastAsia="Times New Roman" w:hAnsi="Times New Roman"/>
          <w:sz w:val="24"/>
          <w:szCs w:val="24"/>
          <w:b w:val="1"/>
          <w:bCs w:val="1"/>
          <w:color w:val="auto"/>
        </w:rPr>
        <w:t>I. LANGKAH-LANGKAH STRATEGIS YANG DILAKUKAN OLEH PT TASPEN (PERSERO)</w:t>
      </w:r>
    </w:p>
    <w:p>
      <w:pPr>
        <w:spacing w:after="0" w:line="23" w:lineRule="exact"/>
        <w:rPr>
          <w:sz w:val="20"/>
          <w:szCs w:val="20"/>
          <w:color w:val="auto"/>
        </w:rPr>
      </w:pPr>
    </w:p>
    <w:p>
      <w:pPr>
        <w:ind w:left="1120" w:right="270"/>
        <w:spacing w:after="0" w:line="348" w:lineRule="auto"/>
        <w:rPr>
          <w:sz w:val="20"/>
          <w:szCs w:val="20"/>
          <w:color w:val="auto"/>
        </w:rPr>
      </w:pPr>
      <w:r>
        <w:rPr>
          <w:rFonts w:ascii="Times New Roman" w:cs="Times New Roman" w:eastAsia="Times New Roman" w:hAnsi="Times New Roman"/>
          <w:sz w:val="24"/>
          <w:szCs w:val="24"/>
          <w:color w:val="auto"/>
        </w:rPr>
        <w:t>Dengan kondisi permasalahan yang dihadapi PT TASPEN (Persero) maka PT TASPEN (Persero) melakukan langkah-langkah strtegis sebagai perbaikan.</w:t>
      </w:r>
    </w:p>
    <w:p>
      <w:pPr>
        <w:spacing w:after="0" w:line="20" w:lineRule="exact"/>
        <w:rPr>
          <w:sz w:val="20"/>
          <w:szCs w:val="20"/>
          <w:color w:val="auto"/>
        </w:rPr>
      </w:pPr>
    </w:p>
    <w:p>
      <w:pPr>
        <w:ind w:left="1480" w:hanging="369"/>
        <w:spacing w:after="0"/>
        <w:tabs>
          <w:tab w:leader="none" w:pos="1480" w:val="left"/>
        </w:tabs>
        <w:numPr>
          <w:ilvl w:val="0"/>
          <w:numId w:val="19"/>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Perundangan</w:t>
      </w:r>
    </w:p>
    <w:p>
      <w:pPr>
        <w:spacing w:after="0" w:line="132" w:lineRule="exact"/>
        <w:rPr>
          <w:rFonts w:ascii="Times New Roman" w:cs="Times New Roman" w:eastAsia="Times New Roman" w:hAnsi="Times New Roman"/>
          <w:sz w:val="24"/>
          <w:szCs w:val="24"/>
          <w:b w:val="1"/>
          <w:bCs w:val="1"/>
          <w:color w:val="auto"/>
        </w:rPr>
      </w:pPr>
    </w:p>
    <w:p>
      <w:pPr>
        <w:ind w:left="2320" w:hanging="352"/>
        <w:spacing w:after="0"/>
        <w:tabs>
          <w:tab w:leader="none" w:pos="2320" w:val="left"/>
        </w:tabs>
        <w:numPr>
          <w:ilvl w:val="1"/>
          <w:numId w:val="1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Mendayaguakan Pokja Advokasi</w:t>
      </w:r>
    </w:p>
    <w:p>
      <w:pPr>
        <w:spacing w:after="0" w:line="139"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1"/>
          <w:numId w:val="1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Menyusun materi pendukung advokasi.</w:t>
      </w:r>
    </w:p>
    <w:p>
      <w:pPr>
        <w:spacing w:after="0" w:line="136"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1"/>
          <w:numId w:val="1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Menyusun dan mengajukan BPP tentang JKK dan JKm</w:t>
      </w:r>
    </w:p>
    <w:p>
      <w:pPr>
        <w:spacing w:after="0" w:line="141"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1"/>
          <w:numId w:val="1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Menyusun dan Mengajukan RPP tentang JHT dan Pensiun.</w:t>
      </w:r>
    </w:p>
    <w:p>
      <w:pPr>
        <w:spacing w:after="0" w:line="136"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1"/>
          <w:numId w:val="1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Menyusun dan Mengajukan RUU perubahan UU SJSN dan UU</w:t>
      </w:r>
    </w:p>
    <w:p>
      <w:pPr>
        <w:spacing w:after="0" w:line="139" w:lineRule="exact"/>
        <w:rPr>
          <w:sz w:val="20"/>
          <w:szCs w:val="20"/>
          <w:color w:val="auto"/>
        </w:rPr>
      </w:pPr>
    </w:p>
    <w:p>
      <w:pPr>
        <w:ind w:left="2320"/>
        <w:spacing w:after="0"/>
        <w:rPr>
          <w:sz w:val="20"/>
          <w:szCs w:val="20"/>
          <w:color w:val="auto"/>
        </w:rPr>
      </w:pPr>
      <w:r>
        <w:rPr>
          <w:rFonts w:ascii="Times New Roman" w:cs="Times New Roman" w:eastAsia="Times New Roman" w:hAnsi="Times New Roman"/>
          <w:sz w:val="24"/>
          <w:szCs w:val="24"/>
          <w:color w:val="auto"/>
        </w:rPr>
        <w:t>BPJS</w:t>
      </w:r>
    </w:p>
    <w:p>
      <w:pPr>
        <w:spacing w:after="0" w:line="149" w:lineRule="exact"/>
        <w:rPr>
          <w:sz w:val="20"/>
          <w:szCs w:val="20"/>
          <w:color w:val="auto"/>
        </w:rPr>
      </w:pPr>
    </w:p>
    <w:p>
      <w:pPr>
        <w:ind w:left="1540" w:right="270"/>
        <w:spacing w:after="0" w:line="350" w:lineRule="auto"/>
        <w:rPr>
          <w:sz w:val="20"/>
          <w:szCs w:val="20"/>
          <w:color w:val="auto"/>
        </w:rPr>
      </w:pPr>
      <w:r>
        <w:rPr>
          <w:rFonts w:ascii="Times New Roman" w:cs="Times New Roman" w:eastAsia="Times New Roman" w:hAnsi="Times New Roman"/>
          <w:sz w:val="24"/>
          <w:szCs w:val="24"/>
          <w:color w:val="auto"/>
        </w:rPr>
        <w:t>Berikut ini gambaran singkat mengenai transformasi pada aspek perudangan.</w:t>
      </w:r>
    </w:p>
    <w:p>
      <w:pPr>
        <w:sectPr>
          <w:pgSz w:w="11920" w:h="16845" w:orient="portrait"/>
          <w:cols w:equalWidth="0" w:num="1">
            <w:col w:w="9030"/>
          </w:cols>
          <w:pgMar w:left="1440" w:top="1440" w:right="1440" w:bottom="1440"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1440180</wp:posOffset>
            </wp:positionH>
            <wp:positionV relativeFrom="page">
              <wp:posOffset>1080770</wp:posOffset>
            </wp:positionV>
            <wp:extent cx="5024755" cy="27311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clrChange>
                        <a:clrFrom>
                          <a:srgbClr val="FFFFFF"/>
                        </a:clrFrom>
                        <a:clrTo>
                          <a:srgbClr val="FFFFFF">
                            <a:alpha val="0"/>
                          </a:srgbClr>
                        </a:clrTo>
                      </a:clrChange>
                      <a:extLst>
                        <a:ext uri="{28A0092B-C50C-407E-A947-70E740481C1C}"/>
                      </a:extLst>
                    </a:blip>
                    <a:srcRect/>
                    <a:stretch>
                      <a:fillRect/>
                    </a:stretch>
                  </pic:blipFill>
                  <pic:spPr bwMode="auto">
                    <a:xfrm>
                      <a:off x="0" y="0"/>
                      <a:ext cx="5024755" cy="273113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6" w:lineRule="exact"/>
        <w:rPr>
          <w:sz w:val="20"/>
          <w:szCs w:val="20"/>
          <w:color w:val="auto"/>
        </w:rPr>
      </w:pPr>
    </w:p>
    <w:p>
      <w:pPr>
        <w:ind w:left="1480" w:hanging="369"/>
        <w:spacing w:after="0"/>
        <w:tabs>
          <w:tab w:leader="none" w:pos="1480" w:val="left"/>
        </w:tabs>
        <w:numPr>
          <w:ilvl w:val="0"/>
          <w:numId w:val="20"/>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Kepesertaan dan Pelayanan.</w:t>
      </w:r>
    </w:p>
    <w:p>
      <w:pPr>
        <w:spacing w:after="0" w:line="146" w:lineRule="exact"/>
        <w:rPr>
          <w:rFonts w:ascii="Times New Roman" w:cs="Times New Roman" w:eastAsia="Times New Roman" w:hAnsi="Times New Roman"/>
          <w:sz w:val="24"/>
          <w:szCs w:val="24"/>
          <w:b w:val="1"/>
          <w:bCs w:val="1"/>
          <w:color w:val="auto"/>
        </w:rPr>
      </w:pPr>
    </w:p>
    <w:p>
      <w:pPr>
        <w:ind w:left="2320" w:right="270" w:hanging="352"/>
        <w:spacing w:after="0" w:line="348" w:lineRule="auto"/>
        <w:tabs>
          <w:tab w:leader="none" w:pos="2320" w:val="left"/>
        </w:tabs>
        <w:numPr>
          <w:ilvl w:val="1"/>
          <w:numId w:val="2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Cakupan kepesertaan diperluas ke seluruh ASN, Pejabat Negara, Hakim dan PPPK beserta anggota keluarganya masing-masing,</w:t>
      </w:r>
    </w:p>
    <w:p>
      <w:pPr>
        <w:spacing w:after="0" w:line="15"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1"/>
          <w:numId w:val="2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Data peserta dan keluarganya tertata dengan lengkap dan benar.</w:t>
      </w:r>
    </w:p>
    <w:p>
      <w:pPr>
        <w:spacing w:after="0" w:line="136"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1"/>
          <w:numId w:val="2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 xml:space="preserve">Seluruh pegawai memiliki </w:t>
      </w:r>
      <w:r>
        <w:rPr>
          <w:rFonts w:ascii="Times New Roman" w:cs="Times New Roman" w:eastAsia="Times New Roman" w:hAnsi="Times New Roman"/>
          <w:sz w:val="24"/>
          <w:szCs w:val="24"/>
          <w:i w:val="1"/>
          <w:iCs w:val="1"/>
          <w:color w:val="auto"/>
        </w:rPr>
        <w:t>Unique Identity ID</w:t>
      </w:r>
      <w:r>
        <w:rPr>
          <w:rFonts w:ascii="Times New Roman" w:cs="Times New Roman" w:eastAsia="Times New Roman" w:hAnsi="Times New Roman"/>
          <w:sz w:val="24"/>
          <w:szCs w:val="24"/>
          <w:color w:val="auto"/>
        </w:rPr>
        <w:t xml:space="preserve"> melalui KPE</w:t>
      </w:r>
    </w:p>
    <w:p>
      <w:pPr>
        <w:spacing w:after="0" w:line="139"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1"/>
          <w:numId w:val="20"/>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 xml:space="preserve">Setiap peserta memiliki </w:t>
      </w:r>
      <w:r>
        <w:rPr>
          <w:rFonts w:ascii="Times New Roman" w:cs="Times New Roman" w:eastAsia="Times New Roman" w:hAnsi="Times New Roman"/>
          <w:sz w:val="24"/>
          <w:szCs w:val="24"/>
          <w:i w:val="1"/>
          <w:iCs w:val="1"/>
          <w:color w:val="auto"/>
        </w:rPr>
        <w:t>Individual Account</w:t>
      </w:r>
    </w:p>
    <w:p>
      <w:pPr>
        <w:spacing w:after="0" w:line="200" w:lineRule="exact"/>
        <w:rPr>
          <w:sz w:val="20"/>
          <w:szCs w:val="20"/>
          <w:color w:val="auto"/>
        </w:rPr>
      </w:pPr>
    </w:p>
    <w:p>
      <w:pPr>
        <w:spacing w:after="0" w:line="354" w:lineRule="exact"/>
        <w:rPr>
          <w:sz w:val="20"/>
          <w:szCs w:val="20"/>
          <w:color w:val="auto"/>
        </w:rPr>
      </w:pPr>
    </w:p>
    <w:p>
      <w:pPr>
        <w:ind w:left="1540"/>
        <w:spacing w:after="0"/>
        <w:rPr>
          <w:sz w:val="20"/>
          <w:szCs w:val="20"/>
          <w:color w:val="auto"/>
        </w:rPr>
      </w:pPr>
      <w:r>
        <w:rPr>
          <w:rFonts w:ascii="Times New Roman" w:cs="Times New Roman" w:eastAsia="Times New Roman" w:hAnsi="Times New Roman"/>
          <w:sz w:val="24"/>
          <w:szCs w:val="24"/>
          <w:color w:val="auto"/>
        </w:rPr>
        <w:t>Berikut ini gambaran transformasi aspek kepesertaan dan pelayanan.</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605155</wp:posOffset>
            </wp:positionH>
            <wp:positionV relativeFrom="paragraph">
              <wp:posOffset>116205</wp:posOffset>
            </wp:positionV>
            <wp:extent cx="4919345" cy="28911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extLst>
                    </a:blip>
                    <a:srcRect/>
                    <a:stretch>
                      <a:fillRect/>
                    </a:stretch>
                  </pic:blipFill>
                  <pic:spPr bwMode="auto">
                    <a:xfrm>
                      <a:off x="0" y="0"/>
                      <a:ext cx="4919345" cy="289115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7" w:lineRule="exact"/>
        <w:rPr>
          <w:sz w:val="20"/>
          <w:szCs w:val="20"/>
          <w:color w:val="auto"/>
        </w:rPr>
      </w:pPr>
    </w:p>
    <w:p>
      <w:pPr>
        <w:ind w:left="1480" w:hanging="369"/>
        <w:spacing w:after="0"/>
        <w:tabs>
          <w:tab w:leader="none" w:pos="1480" w:val="left"/>
        </w:tabs>
        <w:numPr>
          <w:ilvl w:val="0"/>
          <w:numId w:val="21"/>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Program</w:t>
      </w:r>
    </w:p>
    <w:p>
      <w:pPr>
        <w:spacing w:after="0" w:line="132" w:lineRule="exact"/>
        <w:rPr>
          <w:rFonts w:ascii="Times New Roman" w:cs="Times New Roman" w:eastAsia="Times New Roman" w:hAnsi="Times New Roman"/>
          <w:sz w:val="24"/>
          <w:szCs w:val="24"/>
          <w:b w:val="1"/>
          <w:bCs w:val="1"/>
          <w:color w:val="auto"/>
        </w:rPr>
      </w:pPr>
    </w:p>
    <w:p>
      <w:pPr>
        <w:ind w:left="1820" w:hanging="284"/>
        <w:spacing w:after="0"/>
        <w:tabs>
          <w:tab w:leader="none" w:pos="1820" w:val="left"/>
        </w:tabs>
        <w:numPr>
          <w:ilvl w:val="1"/>
          <w:numId w:val="2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Membuat model aktuaria dan melakukan analisa keuangan.</w:t>
      </w:r>
    </w:p>
    <w:p>
      <w:pPr>
        <w:spacing w:after="0" w:line="139" w:lineRule="exact"/>
        <w:rPr>
          <w:rFonts w:ascii="Times New Roman" w:cs="Times New Roman" w:eastAsia="Times New Roman" w:hAnsi="Times New Roman"/>
          <w:sz w:val="24"/>
          <w:szCs w:val="24"/>
          <w:color w:val="auto"/>
        </w:rPr>
      </w:pPr>
    </w:p>
    <w:p>
      <w:pPr>
        <w:ind w:left="1820" w:hanging="284"/>
        <w:spacing w:after="0"/>
        <w:tabs>
          <w:tab w:leader="none" w:pos="1820" w:val="left"/>
        </w:tabs>
        <w:numPr>
          <w:ilvl w:val="1"/>
          <w:numId w:val="21"/>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Menerapkan strategi investasi sesuai karakteristik program.</w:t>
      </w:r>
    </w:p>
    <w:p>
      <w:pPr>
        <w:sectPr>
          <w:pgSz w:w="11920" w:h="16845" w:orient="portrait"/>
          <w:cols w:equalWidth="0" w:num="1">
            <w:col w:w="9030"/>
          </w:cols>
          <w:pgMar w:left="1440" w:top="1440" w:right="1440" w:bottom="1440" w:gutter="0" w:footer="0" w:header="0"/>
        </w:sectPr>
      </w:pPr>
    </w:p>
    <w:p>
      <w:pPr>
        <w:spacing w:after="0" w:line="254" w:lineRule="exact"/>
        <w:rPr>
          <w:sz w:val="20"/>
          <w:szCs w:val="20"/>
          <w:color w:val="auto"/>
        </w:rPr>
      </w:pPr>
    </w:p>
    <w:p>
      <w:pPr>
        <w:ind w:left="1820" w:hanging="284"/>
        <w:spacing w:after="0"/>
        <w:tabs>
          <w:tab w:leader="none" w:pos="1820" w:val="left"/>
        </w:tabs>
        <w:numPr>
          <w:ilvl w:val="0"/>
          <w:numId w:val="2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Menentukan mekanisme penarikan manfaat sebelum usia pensiun</w:t>
      </w:r>
    </w:p>
    <w:p>
      <w:pPr>
        <w:spacing w:after="0" w:line="136" w:lineRule="exact"/>
        <w:rPr>
          <w:rFonts w:ascii="Times New Roman" w:cs="Times New Roman" w:eastAsia="Times New Roman" w:hAnsi="Times New Roman"/>
          <w:sz w:val="24"/>
          <w:szCs w:val="24"/>
          <w:color w:val="auto"/>
        </w:rPr>
      </w:pPr>
    </w:p>
    <w:p>
      <w:pPr>
        <w:ind w:left="1820" w:hanging="284"/>
        <w:spacing w:after="0"/>
        <w:tabs>
          <w:tab w:leader="none" w:pos="1820" w:val="left"/>
        </w:tabs>
        <w:numPr>
          <w:ilvl w:val="0"/>
          <w:numId w:val="2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Menetapkan pilihan pembayaran manfaat.</w:t>
      </w:r>
    </w:p>
    <w:p>
      <w:pPr>
        <w:spacing w:after="0" w:line="151" w:lineRule="exact"/>
        <w:rPr>
          <w:rFonts w:ascii="Times New Roman" w:cs="Times New Roman" w:eastAsia="Times New Roman" w:hAnsi="Times New Roman"/>
          <w:sz w:val="24"/>
          <w:szCs w:val="24"/>
          <w:color w:val="auto"/>
        </w:rPr>
      </w:pPr>
    </w:p>
    <w:p>
      <w:pPr>
        <w:ind w:left="1820" w:right="270" w:hanging="284"/>
        <w:spacing w:after="0" w:line="348" w:lineRule="auto"/>
        <w:tabs>
          <w:tab w:leader="none" w:pos="1820" w:val="left"/>
        </w:tabs>
        <w:numPr>
          <w:ilvl w:val="0"/>
          <w:numId w:val="2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 xml:space="preserve">Mengusulkan mekanisme pelunasan </w:t>
      </w:r>
      <w:r>
        <w:rPr>
          <w:rFonts w:ascii="Times New Roman" w:cs="Times New Roman" w:eastAsia="Times New Roman" w:hAnsi="Times New Roman"/>
          <w:sz w:val="24"/>
          <w:szCs w:val="24"/>
          <w:i w:val="1"/>
          <w:iCs w:val="1"/>
          <w:color w:val="auto"/>
        </w:rPr>
        <w:t>PSL</w:t>
      </w:r>
      <w:r>
        <w:rPr>
          <w:rFonts w:ascii="Times New Roman" w:cs="Times New Roman" w:eastAsia="Times New Roman" w:hAnsi="Times New Roman"/>
          <w:sz w:val="24"/>
          <w:szCs w:val="24"/>
          <w:color w:val="auto"/>
        </w:rPr>
        <w:t xml:space="preserve"> (untuk Program Manfaat Pasti).</w:t>
      </w:r>
    </w:p>
    <w:p>
      <w:pPr>
        <w:spacing w:after="0" w:line="27" w:lineRule="exact"/>
        <w:rPr>
          <w:rFonts w:ascii="Times New Roman" w:cs="Times New Roman" w:eastAsia="Times New Roman" w:hAnsi="Times New Roman"/>
          <w:sz w:val="24"/>
          <w:szCs w:val="24"/>
          <w:color w:val="auto"/>
        </w:rPr>
      </w:pPr>
    </w:p>
    <w:p>
      <w:pPr>
        <w:ind w:left="1820" w:right="270" w:hanging="284"/>
        <w:spacing w:after="0" w:line="348" w:lineRule="auto"/>
        <w:tabs>
          <w:tab w:leader="none" w:pos="1820" w:val="left"/>
        </w:tabs>
        <w:numPr>
          <w:ilvl w:val="0"/>
          <w:numId w:val="2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Melakukan harmonisasi dan koordinasi dalam perancangan program baru terhadap manfaat program yang sudah ada.</w:t>
      </w:r>
    </w:p>
    <w:p>
      <w:pPr>
        <w:spacing w:after="0" w:line="27" w:lineRule="exact"/>
        <w:rPr>
          <w:rFonts w:ascii="Times New Roman" w:cs="Times New Roman" w:eastAsia="Times New Roman" w:hAnsi="Times New Roman"/>
          <w:sz w:val="24"/>
          <w:szCs w:val="24"/>
          <w:color w:val="auto"/>
        </w:rPr>
      </w:pPr>
    </w:p>
    <w:p>
      <w:pPr>
        <w:ind w:left="1820" w:right="270" w:hanging="284"/>
        <w:spacing w:after="0" w:line="348" w:lineRule="auto"/>
        <w:tabs>
          <w:tab w:leader="none" w:pos="1820" w:val="left"/>
        </w:tabs>
        <w:numPr>
          <w:ilvl w:val="0"/>
          <w:numId w:val="2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Melaksanakan kampanye advokasi dan sosialisasi program-program baru.</w:t>
      </w:r>
    </w:p>
    <w:p>
      <w:pPr>
        <w:spacing w:after="0" w:line="27" w:lineRule="exact"/>
        <w:rPr>
          <w:rFonts w:ascii="Times New Roman" w:cs="Times New Roman" w:eastAsia="Times New Roman" w:hAnsi="Times New Roman"/>
          <w:sz w:val="24"/>
          <w:szCs w:val="24"/>
          <w:color w:val="auto"/>
        </w:rPr>
      </w:pPr>
    </w:p>
    <w:p>
      <w:pPr>
        <w:ind w:left="1820" w:right="270" w:hanging="284"/>
        <w:spacing w:after="0" w:line="348" w:lineRule="auto"/>
        <w:tabs>
          <w:tab w:leader="none" w:pos="1820" w:val="left"/>
        </w:tabs>
        <w:numPr>
          <w:ilvl w:val="0"/>
          <w:numId w:val="2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Menyusun dokumentasi rancangan program secara lengkap untuk memperoleh persetujuan OJK (</w:t>
      </w:r>
      <w:r>
        <w:rPr>
          <w:rFonts w:ascii="Times New Roman" w:cs="Times New Roman" w:eastAsia="Times New Roman" w:hAnsi="Times New Roman"/>
          <w:sz w:val="24"/>
          <w:szCs w:val="24"/>
          <w:i w:val="1"/>
          <w:iCs w:val="1"/>
          <w:color w:val="auto"/>
        </w:rPr>
        <w:t>product filing</w:t>
      </w:r>
      <w:r>
        <w:rPr>
          <w:rFonts w:ascii="Times New Roman" w:cs="Times New Roman" w:eastAsia="Times New Roman" w:hAnsi="Times New Roman"/>
          <w:sz w:val="24"/>
          <w:szCs w:val="24"/>
          <w:color w:val="auto"/>
        </w:rPr>
        <w:t>)</w:t>
      </w:r>
    </w:p>
    <w:p>
      <w:pPr>
        <w:spacing w:after="0" w:line="16" w:lineRule="exact"/>
        <w:rPr>
          <w:sz w:val="20"/>
          <w:szCs w:val="20"/>
          <w:color w:val="auto"/>
        </w:rPr>
      </w:pPr>
    </w:p>
    <w:p>
      <w:pPr>
        <w:ind w:left="820"/>
        <w:spacing w:after="0"/>
        <w:rPr>
          <w:sz w:val="20"/>
          <w:szCs w:val="20"/>
          <w:color w:val="auto"/>
        </w:rPr>
      </w:pPr>
      <w:r>
        <w:rPr>
          <w:rFonts w:ascii="Times New Roman" w:cs="Times New Roman" w:eastAsia="Times New Roman" w:hAnsi="Times New Roman"/>
          <w:sz w:val="24"/>
          <w:szCs w:val="24"/>
          <w:color w:val="auto"/>
        </w:rPr>
        <w:t>Berikut ini gambaran singkat mengenai transformasi aspek program.</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530225</wp:posOffset>
            </wp:positionH>
            <wp:positionV relativeFrom="paragraph">
              <wp:posOffset>116205</wp:posOffset>
            </wp:positionV>
            <wp:extent cx="4954270" cy="286829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extLst>
                    </a:blip>
                    <a:srcRect/>
                    <a:stretch>
                      <a:fillRect/>
                    </a:stretch>
                  </pic:blipFill>
                  <pic:spPr bwMode="auto">
                    <a:xfrm>
                      <a:off x="0" y="0"/>
                      <a:ext cx="4954270" cy="286829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2" w:lineRule="exact"/>
        <w:rPr>
          <w:sz w:val="20"/>
          <w:szCs w:val="20"/>
          <w:color w:val="auto"/>
        </w:rPr>
      </w:pPr>
    </w:p>
    <w:p>
      <w:pPr>
        <w:ind w:left="1480" w:hanging="369"/>
        <w:spacing w:after="0"/>
        <w:tabs>
          <w:tab w:leader="none" w:pos="1480" w:val="left"/>
        </w:tabs>
        <w:numPr>
          <w:ilvl w:val="0"/>
          <w:numId w:val="23"/>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Pengembangan Usaha.</w:t>
      </w:r>
      <w:r>
        <w:rPr>
          <w:rFonts w:ascii="Times New Roman" w:cs="Times New Roman" w:eastAsia="Times New Roman" w:hAnsi="Times New Roman"/>
          <w:sz w:val="24"/>
          <w:szCs w:val="24"/>
          <w:color w:val="auto"/>
        </w:rPr>
        <w:t>.</w:t>
      </w:r>
    </w:p>
    <w:p>
      <w:pPr>
        <w:spacing w:after="0" w:line="139" w:lineRule="exact"/>
        <w:rPr>
          <w:rFonts w:ascii="Times New Roman" w:cs="Times New Roman" w:eastAsia="Times New Roman" w:hAnsi="Times New Roman"/>
          <w:sz w:val="24"/>
          <w:szCs w:val="24"/>
          <w:b w:val="1"/>
          <w:bCs w:val="1"/>
          <w:color w:val="auto"/>
        </w:rPr>
      </w:pPr>
    </w:p>
    <w:p>
      <w:pPr>
        <w:ind w:left="1680" w:hanging="286"/>
        <w:spacing w:after="0"/>
        <w:tabs>
          <w:tab w:leader="none" w:pos="1680" w:val="left"/>
        </w:tabs>
        <w:numPr>
          <w:ilvl w:val="1"/>
          <w:numId w:val="2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Pengembangan Program turunan Pensiun dan THT</w:t>
      </w:r>
    </w:p>
    <w:p>
      <w:pPr>
        <w:spacing w:after="0" w:line="136" w:lineRule="exact"/>
        <w:rPr>
          <w:rFonts w:ascii="Times New Roman" w:cs="Times New Roman" w:eastAsia="Times New Roman" w:hAnsi="Times New Roman"/>
          <w:sz w:val="24"/>
          <w:szCs w:val="24"/>
          <w:color w:val="auto"/>
        </w:rPr>
      </w:pPr>
    </w:p>
    <w:p>
      <w:pPr>
        <w:ind w:left="1680" w:hanging="286"/>
        <w:spacing w:after="0"/>
        <w:tabs>
          <w:tab w:leader="none" w:pos="1680" w:val="left"/>
        </w:tabs>
        <w:numPr>
          <w:ilvl w:val="1"/>
          <w:numId w:val="2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 xml:space="preserve">Membangun </w:t>
      </w:r>
      <w:r>
        <w:rPr>
          <w:rFonts w:ascii="Times New Roman" w:cs="Times New Roman" w:eastAsia="Times New Roman" w:hAnsi="Times New Roman"/>
          <w:sz w:val="24"/>
          <w:szCs w:val="24"/>
          <w:i w:val="1"/>
          <w:iCs w:val="1"/>
          <w:color w:val="auto"/>
        </w:rPr>
        <w:t>Integrated Financial Services</w:t>
      </w:r>
    </w:p>
    <w:p>
      <w:pPr>
        <w:spacing w:after="0" w:line="139" w:lineRule="exact"/>
        <w:rPr>
          <w:sz w:val="20"/>
          <w:szCs w:val="20"/>
          <w:color w:val="auto"/>
        </w:rPr>
      </w:pPr>
    </w:p>
    <w:p>
      <w:pPr>
        <w:jc w:val="center"/>
        <w:ind w:right="130"/>
        <w:spacing w:after="0"/>
        <w:rPr>
          <w:sz w:val="20"/>
          <w:szCs w:val="20"/>
          <w:color w:val="auto"/>
        </w:rPr>
      </w:pPr>
      <w:r>
        <w:rPr>
          <w:rFonts w:ascii="Times New Roman" w:cs="Times New Roman" w:eastAsia="Times New Roman" w:hAnsi="Times New Roman"/>
          <w:sz w:val="24"/>
          <w:szCs w:val="24"/>
          <w:color w:val="auto"/>
        </w:rPr>
        <w:t>Gambaran singkat mengenai transformasi pengembangan usaha</w:t>
      </w:r>
    </w:p>
    <w:p>
      <w:pPr>
        <w:sectPr>
          <w:pgSz w:w="11920" w:h="16845" w:orient="portrait"/>
          <w:cols w:equalWidth="0" w:num="1">
            <w:col w:w="9030"/>
          </w:cols>
          <w:pgMar w:left="1440" w:top="1440" w:right="1440" w:bottom="1440" w:gutter="0" w:footer="0" w:header="0"/>
        </w:sectPr>
      </w:pPr>
    </w:p>
    <w:p>
      <w:pPr>
        <w:spacing w:after="0" w:line="200" w:lineRule="exact"/>
        <w:rPr>
          <w:sz w:val="20"/>
          <w:szCs w:val="20"/>
          <w:color w:val="auto"/>
        </w:rPr>
      </w:pPr>
      <w:r>
        <w:rPr>
          <w:sz w:val="20"/>
          <w:szCs w:val="20"/>
          <w:color w:val="auto"/>
        </w:rPr>
        <w:drawing>
          <wp:anchor simplePos="0" relativeHeight="251657728" behindDoc="1" locked="0" layoutInCell="0" allowOverlap="1">
            <wp:simplePos x="0" y="0"/>
            <wp:positionH relativeFrom="page">
              <wp:posOffset>1461770</wp:posOffset>
            </wp:positionH>
            <wp:positionV relativeFrom="page">
              <wp:posOffset>1071245</wp:posOffset>
            </wp:positionV>
            <wp:extent cx="4942205" cy="26962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clrChange>
                        <a:clrFrom>
                          <a:srgbClr val="FFFFFF"/>
                        </a:clrFrom>
                        <a:clrTo>
                          <a:srgbClr val="FFFFFF">
                            <a:alpha val="0"/>
                          </a:srgbClr>
                        </a:clrTo>
                      </a:clrChange>
                      <a:extLst>
                        <a:ext uri="{28A0092B-C50C-407E-A947-70E740481C1C}"/>
                      </a:extLst>
                    </a:blip>
                    <a:srcRect/>
                    <a:stretch>
                      <a:fillRect/>
                    </a:stretch>
                  </pic:blipFill>
                  <pic:spPr bwMode="auto">
                    <a:xfrm>
                      <a:off x="0" y="0"/>
                      <a:ext cx="4942205" cy="269621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2" w:lineRule="exact"/>
        <w:rPr>
          <w:sz w:val="20"/>
          <w:szCs w:val="20"/>
          <w:color w:val="auto"/>
        </w:rPr>
      </w:pPr>
    </w:p>
    <w:p>
      <w:pPr>
        <w:ind w:left="1480" w:hanging="369"/>
        <w:spacing w:after="0"/>
        <w:tabs>
          <w:tab w:leader="none" w:pos="1480" w:val="left"/>
        </w:tabs>
        <w:numPr>
          <w:ilvl w:val="0"/>
          <w:numId w:val="24"/>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Proses Bisnis dan TI</w:t>
      </w:r>
    </w:p>
    <w:p>
      <w:pPr>
        <w:spacing w:after="0" w:line="134" w:lineRule="exact"/>
        <w:rPr>
          <w:rFonts w:ascii="Times New Roman" w:cs="Times New Roman" w:eastAsia="Times New Roman" w:hAnsi="Times New Roman"/>
          <w:sz w:val="24"/>
          <w:szCs w:val="24"/>
          <w:b w:val="1"/>
          <w:bCs w:val="1"/>
          <w:color w:val="auto"/>
        </w:rPr>
      </w:pPr>
    </w:p>
    <w:p>
      <w:pPr>
        <w:ind w:left="1820" w:hanging="284"/>
        <w:spacing w:after="0"/>
        <w:tabs>
          <w:tab w:leader="none" w:pos="1820" w:val="left"/>
        </w:tabs>
        <w:numPr>
          <w:ilvl w:val="1"/>
          <w:numId w:val="2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Memperkuat internal dan eksternal integrasi peusahaan.</w:t>
      </w:r>
    </w:p>
    <w:p>
      <w:pPr>
        <w:spacing w:after="0" w:line="136" w:lineRule="exact"/>
        <w:rPr>
          <w:rFonts w:ascii="Times New Roman" w:cs="Times New Roman" w:eastAsia="Times New Roman" w:hAnsi="Times New Roman"/>
          <w:sz w:val="24"/>
          <w:szCs w:val="24"/>
          <w:color w:val="auto"/>
        </w:rPr>
      </w:pPr>
    </w:p>
    <w:p>
      <w:pPr>
        <w:ind w:left="1820" w:hanging="284"/>
        <w:spacing w:after="0"/>
        <w:tabs>
          <w:tab w:leader="none" w:pos="1820" w:val="left"/>
        </w:tabs>
        <w:numPr>
          <w:ilvl w:val="1"/>
          <w:numId w:val="2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Menyiapkan e-channel delivery services</w:t>
      </w:r>
    </w:p>
    <w:p>
      <w:pPr>
        <w:spacing w:after="0" w:line="139" w:lineRule="exact"/>
        <w:rPr>
          <w:rFonts w:ascii="Times New Roman" w:cs="Times New Roman" w:eastAsia="Times New Roman" w:hAnsi="Times New Roman"/>
          <w:sz w:val="24"/>
          <w:szCs w:val="24"/>
          <w:color w:val="auto"/>
        </w:rPr>
      </w:pPr>
    </w:p>
    <w:p>
      <w:pPr>
        <w:ind w:left="1820" w:hanging="284"/>
        <w:spacing w:after="0"/>
        <w:tabs>
          <w:tab w:leader="none" w:pos="1820" w:val="left"/>
        </w:tabs>
        <w:numPr>
          <w:ilvl w:val="1"/>
          <w:numId w:val="24"/>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 xml:space="preserve">Merancang arsitektur, fasilitas dan tata kelola </w:t>
      </w:r>
      <w:r>
        <w:rPr>
          <w:rFonts w:ascii="Times New Roman" w:cs="Times New Roman" w:eastAsia="Times New Roman" w:hAnsi="Times New Roman"/>
          <w:sz w:val="24"/>
          <w:szCs w:val="24"/>
          <w:i w:val="1"/>
          <w:iCs w:val="1"/>
          <w:color w:val="auto"/>
        </w:rPr>
        <w:t>IT</w:t>
      </w:r>
    </w:p>
    <w:p>
      <w:pPr>
        <w:spacing w:after="0" w:line="137" w:lineRule="exact"/>
        <w:rPr>
          <w:sz w:val="20"/>
          <w:szCs w:val="20"/>
          <w:color w:val="auto"/>
        </w:rPr>
      </w:pPr>
    </w:p>
    <w:p>
      <w:pPr>
        <w:ind w:left="1540"/>
        <w:spacing w:after="0"/>
        <w:rPr>
          <w:sz w:val="20"/>
          <w:szCs w:val="20"/>
          <w:color w:val="auto"/>
        </w:rPr>
      </w:pPr>
      <w:r>
        <w:rPr>
          <w:rFonts w:ascii="Times New Roman" w:cs="Times New Roman" w:eastAsia="Times New Roman" w:hAnsi="Times New Roman"/>
          <w:sz w:val="24"/>
          <w:szCs w:val="24"/>
          <w:color w:val="auto"/>
        </w:rPr>
        <w:t>Gambaran singkat mengenai transformasi aspek proses bisnis dan IT.</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525780</wp:posOffset>
            </wp:positionH>
            <wp:positionV relativeFrom="paragraph">
              <wp:posOffset>93345</wp:posOffset>
            </wp:positionV>
            <wp:extent cx="4957445" cy="26181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extLst>
                    </a:blip>
                    <a:srcRect/>
                    <a:stretch>
                      <a:fillRect/>
                    </a:stretch>
                  </pic:blipFill>
                  <pic:spPr bwMode="auto">
                    <a:xfrm>
                      <a:off x="0" y="0"/>
                      <a:ext cx="4957445" cy="261810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89" w:lineRule="exact"/>
        <w:rPr>
          <w:sz w:val="20"/>
          <w:szCs w:val="20"/>
          <w:color w:val="auto"/>
        </w:rPr>
      </w:pPr>
    </w:p>
    <w:p>
      <w:pPr>
        <w:ind w:left="1480" w:hanging="369"/>
        <w:spacing w:after="0"/>
        <w:tabs>
          <w:tab w:leader="none" w:pos="1480" w:val="left"/>
        </w:tabs>
        <w:numPr>
          <w:ilvl w:val="0"/>
          <w:numId w:val="25"/>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Organisasi dan SDM</w:t>
      </w:r>
    </w:p>
    <w:p>
      <w:pPr>
        <w:spacing w:after="0" w:line="132" w:lineRule="exact"/>
        <w:rPr>
          <w:rFonts w:ascii="Times New Roman" w:cs="Times New Roman" w:eastAsia="Times New Roman" w:hAnsi="Times New Roman"/>
          <w:sz w:val="24"/>
          <w:szCs w:val="24"/>
          <w:b w:val="1"/>
          <w:bCs w:val="1"/>
          <w:color w:val="auto"/>
        </w:rPr>
      </w:pPr>
    </w:p>
    <w:p>
      <w:pPr>
        <w:ind w:left="2320" w:hanging="352"/>
        <w:spacing w:after="0"/>
        <w:tabs>
          <w:tab w:leader="none" w:pos="2320" w:val="left"/>
        </w:tabs>
        <w:numPr>
          <w:ilvl w:val="1"/>
          <w:numId w:val="2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 xml:space="preserve">Menyesuaikan </w:t>
      </w:r>
      <w:r>
        <w:rPr>
          <w:rFonts w:ascii="Times New Roman" w:cs="Times New Roman" w:eastAsia="Times New Roman" w:hAnsi="Times New Roman"/>
          <w:sz w:val="24"/>
          <w:szCs w:val="24"/>
          <w:i w:val="1"/>
          <w:iCs w:val="1"/>
          <w:color w:val="auto"/>
        </w:rPr>
        <w:t>Corporate Identity</w:t>
      </w:r>
      <w:r>
        <w:rPr>
          <w:rFonts w:ascii="Times New Roman" w:cs="Times New Roman" w:eastAsia="Times New Roman" w:hAnsi="Times New Roman"/>
          <w:sz w:val="24"/>
          <w:szCs w:val="24"/>
          <w:color w:val="auto"/>
        </w:rPr>
        <w:t xml:space="preserve"> dengan orientasi baru.</w:t>
      </w:r>
    </w:p>
    <w:p>
      <w:pPr>
        <w:spacing w:after="0" w:line="139"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1"/>
          <w:numId w:val="2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Menyesuaikan gaya kepemimpinan/</w:t>
      </w:r>
      <w:r>
        <w:rPr>
          <w:rFonts w:ascii="Times New Roman" w:cs="Times New Roman" w:eastAsia="Times New Roman" w:hAnsi="Times New Roman"/>
          <w:sz w:val="24"/>
          <w:szCs w:val="24"/>
          <w:i w:val="1"/>
          <w:iCs w:val="1"/>
          <w:color w:val="auto"/>
        </w:rPr>
        <w:t>leadership style.</w:t>
      </w:r>
    </w:p>
    <w:p>
      <w:pPr>
        <w:spacing w:after="0" w:line="136"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1"/>
          <w:numId w:val="2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Meningkatkan kualitas dan kapasitas SDM</w:t>
      </w:r>
    </w:p>
    <w:p>
      <w:pPr>
        <w:spacing w:after="0" w:line="139"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1"/>
          <w:numId w:val="25"/>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Menguatkan struktur organisasi</w:t>
      </w:r>
    </w:p>
    <w:p>
      <w:pPr>
        <w:sectPr>
          <w:pgSz w:w="11920" w:h="16845" w:orient="portrait"/>
          <w:cols w:equalWidth="0" w:num="1">
            <w:col w:w="9030"/>
          </w:cols>
          <w:pgMar w:left="1440" w:top="1440" w:right="1440" w:bottom="1440" w:gutter="0" w:footer="0" w:header="0"/>
        </w:sectPr>
      </w:pPr>
    </w:p>
    <w:p>
      <w:pPr>
        <w:spacing w:after="0" w:line="266" w:lineRule="exact"/>
        <w:rPr>
          <w:sz w:val="20"/>
          <w:szCs w:val="20"/>
          <w:color w:val="auto"/>
        </w:rPr>
      </w:pPr>
    </w:p>
    <w:p>
      <w:pPr>
        <w:ind w:left="2320" w:right="270" w:hanging="352"/>
        <w:spacing w:after="0" w:line="348" w:lineRule="auto"/>
        <w:tabs>
          <w:tab w:leader="none" w:pos="2320" w:val="left"/>
        </w:tabs>
        <w:numPr>
          <w:ilvl w:val="0"/>
          <w:numId w:val="26"/>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Mendayagunakan sistem kompensasi berbasis kinerja untuk meningkatkan produktivitas pegawai.</w:t>
      </w:r>
    </w:p>
    <w:p>
      <w:pPr>
        <w:spacing w:after="0" w:line="16" w:lineRule="exact"/>
        <w:rPr>
          <w:sz w:val="20"/>
          <w:szCs w:val="20"/>
          <w:color w:val="auto"/>
        </w:rPr>
      </w:pPr>
    </w:p>
    <w:p>
      <w:pPr>
        <w:ind w:left="1540"/>
        <w:spacing w:after="0"/>
        <w:rPr>
          <w:sz w:val="20"/>
          <w:szCs w:val="20"/>
          <w:color w:val="auto"/>
        </w:rPr>
      </w:pPr>
      <w:r>
        <w:rPr>
          <w:rFonts w:ascii="Times New Roman" w:cs="Times New Roman" w:eastAsia="Times New Roman" w:hAnsi="Times New Roman"/>
          <w:sz w:val="24"/>
          <w:szCs w:val="24"/>
          <w:color w:val="auto"/>
        </w:rPr>
        <w:t>Gambaran singkat mengenai transformasi aspek organisasi dan SDM.</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932815</wp:posOffset>
            </wp:positionH>
            <wp:positionV relativeFrom="paragraph">
              <wp:posOffset>99060</wp:posOffset>
            </wp:positionV>
            <wp:extent cx="4626610" cy="259080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extLst>
                    </a:blip>
                    <a:srcRect/>
                    <a:stretch>
                      <a:fillRect/>
                    </a:stretch>
                  </pic:blipFill>
                  <pic:spPr bwMode="auto">
                    <a:xfrm>
                      <a:off x="0" y="0"/>
                      <a:ext cx="4626610" cy="259080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62" w:lineRule="exact"/>
        <w:rPr>
          <w:sz w:val="20"/>
          <w:szCs w:val="20"/>
          <w:color w:val="auto"/>
        </w:rPr>
      </w:pPr>
    </w:p>
    <w:p>
      <w:pPr>
        <w:ind w:left="1480" w:hanging="369"/>
        <w:spacing w:after="0"/>
        <w:tabs>
          <w:tab w:leader="none" w:pos="1480" w:val="left"/>
        </w:tabs>
        <w:numPr>
          <w:ilvl w:val="0"/>
          <w:numId w:val="27"/>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Keuangan dan Investasi</w:t>
      </w:r>
    </w:p>
    <w:p>
      <w:pPr>
        <w:spacing w:after="0" w:line="134" w:lineRule="exact"/>
        <w:rPr>
          <w:rFonts w:ascii="Times New Roman" w:cs="Times New Roman" w:eastAsia="Times New Roman" w:hAnsi="Times New Roman"/>
          <w:sz w:val="24"/>
          <w:szCs w:val="24"/>
          <w:b w:val="1"/>
          <w:bCs w:val="1"/>
          <w:color w:val="auto"/>
        </w:rPr>
      </w:pPr>
    </w:p>
    <w:p>
      <w:pPr>
        <w:ind w:left="2320" w:hanging="352"/>
        <w:spacing w:after="0"/>
        <w:tabs>
          <w:tab w:leader="none" w:pos="2320" w:val="left"/>
        </w:tabs>
        <w:numPr>
          <w:ilvl w:val="1"/>
          <w:numId w:val="2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 xml:space="preserve">Pemenuhan </w:t>
      </w:r>
      <w:r>
        <w:rPr>
          <w:rFonts w:ascii="Times New Roman" w:cs="Times New Roman" w:eastAsia="Times New Roman" w:hAnsi="Times New Roman"/>
          <w:sz w:val="24"/>
          <w:szCs w:val="24"/>
          <w:i w:val="1"/>
          <w:iCs w:val="1"/>
          <w:color w:val="auto"/>
        </w:rPr>
        <w:t>Unfunded PSL</w:t>
      </w:r>
    </w:p>
    <w:p>
      <w:pPr>
        <w:spacing w:after="0" w:line="136"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1"/>
          <w:numId w:val="2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 xml:space="preserve">Menerapkan metodologi aktuaria sesuai </w:t>
      </w:r>
      <w:r>
        <w:rPr>
          <w:rFonts w:ascii="Times New Roman" w:cs="Times New Roman" w:eastAsia="Times New Roman" w:hAnsi="Times New Roman"/>
          <w:sz w:val="24"/>
          <w:szCs w:val="24"/>
          <w:i w:val="1"/>
          <w:iCs w:val="1"/>
          <w:color w:val="auto"/>
        </w:rPr>
        <w:t>best practice</w:t>
      </w:r>
    </w:p>
    <w:p>
      <w:pPr>
        <w:spacing w:after="0" w:line="139"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1"/>
          <w:numId w:val="2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Penguatan kondisi keuangan</w:t>
      </w:r>
    </w:p>
    <w:p>
      <w:pPr>
        <w:spacing w:after="0" w:line="136"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1"/>
          <w:numId w:val="27"/>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Optimalisasi hasil investasi</w:t>
      </w:r>
    </w:p>
    <w:p>
      <w:pPr>
        <w:spacing w:after="0" w:line="139" w:lineRule="exact"/>
        <w:rPr>
          <w:sz w:val="20"/>
          <w:szCs w:val="20"/>
          <w:color w:val="auto"/>
        </w:rPr>
      </w:pPr>
    </w:p>
    <w:p>
      <w:pPr>
        <w:ind w:left="1540"/>
        <w:spacing w:after="0"/>
        <w:rPr>
          <w:sz w:val="20"/>
          <w:szCs w:val="20"/>
          <w:color w:val="auto"/>
        </w:rPr>
      </w:pPr>
      <w:r>
        <w:rPr>
          <w:rFonts w:ascii="Times New Roman" w:cs="Times New Roman" w:eastAsia="Times New Roman" w:hAnsi="Times New Roman"/>
          <w:sz w:val="24"/>
          <w:szCs w:val="24"/>
          <w:color w:val="auto"/>
        </w:rPr>
        <w:t>Gambaran singkat mengenai transformasi aspek Keuangan dan Investasi.</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551815</wp:posOffset>
            </wp:positionH>
            <wp:positionV relativeFrom="paragraph">
              <wp:posOffset>86995</wp:posOffset>
            </wp:positionV>
            <wp:extent cx="4971415" cy="286829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extLst>
                    </a:blip>
                    <a:srcRect/>
                    <a:stretch>
                      <a:fillRect/>
                    </a:stretch>
                  </pic:blipFill>
                  <pic:spPr bwMode="auto">
                    <a:xfrm>
                      <a:off x="0" y="0"/>
                      <a:ext cx="4971415" cy="2868295"/>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7" w:lineRule="exact"/>
        <w:rPr>
          <w:sz w:val="20"/>
          <w:szCs w:val="20"/>
          <w:color w:val="auto"/>
        </w:rPr>
      </w:pPr>
    </w:p>
    <w:p>
      <w:pPr>
        <w:ind w:left="1480" w:hanging="369"/>
        <w:spacing w:after="0"/>
        <w:tabs>
          <w:tab w:leader="none" w:pos="1480" w:val="left"/>
        </w:tabs>
        <w:numPr>
          <w:ilvl w:val="0"/>
          <w:numId w:val="28"/>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Aspek Sosialisasi dan Advokasi:</w:t>
      </w:r>
    </w:p>
    <w:p>
      <w:pPr>
        <w:spacing w:after="0" w:line="134" w:lineRule="exact"/>
        <w:rPr>
          <w:rFonts w:ascii="Times New Roman" w:cs="Times New Roman" w:eastAsia="Times New Roman" w:hAnsi="Times New Roman"/>
          <w:sz w:val="24"/>
          <w:szCs w:val="24"/>
          <w:b w:val="1"/>
          <w:bCs w:val="1"/>
          <w:color w:val="auto"/>
        </w:rPr>
      </w:pPr>
    </w:p>
    <w:p>
      <w:pPr>
        <w:ind w:left="2320" w:hanging="352"/>
        <w:spacing w:after="0"/>
        <w:tabs>
          <w:tab w:leader="none" w:pos="2320" w:val="left"/>
        </w:tabs>
        <w:numPr>
          <w:ilvl w:val="1"/>
          <w:numId w:val="28"/>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Menyusun rencana kerja sosialisasi dan advokasi.</w:t>
      </w:r>
    </w:p>
    <w:p>
      <w:pPr>
        <w:sectPr>
          <w:pgSz w:w="11920" w:h="16845" w:orient="portrait"/>
          <w:cols w:equalWidth="0" w:num="1">
            <w:col w:w="9030"/>
          </w:cols>
          <w:pgMar w:left="1440" w:top="1440" w:right="1440" w:bottom="1440" w:gutter="0" w:footer="0" w:header="0"/>
        </w:sectPr>
      </w:pPr>
    </w:p>
    <w:p>
      <w:pPr>
        <w:spacing w:after="0" w:line="254" w:lineRule="exact"/>
        <w:rPr>
          <w:sz w:val="20"/>
          <w:szCs w:val="20"/>
          <w:color w:val="auto"/>
        </w:rPr>
      </w:pPr>
    </w:p>
    <w:p>
      <w:pPr>
        <w:ind w:left="2320" w:hanging="352"/>
        <w:spacing w:after="0"/>
        <w:tabs>
          <w:tab w:leader="none" w:pos="2320" w:val="left"/>
        </w:tabs>
        <w:numPr>
          <w:ilvl w:val="0"/>
          <w:numId w:val="2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Menyusun materi sosialisasi dan advokasi.</w:t>
      </w:r>
    </w:p>
    <w:p>
      <w:pPr>
        <w:spacing w:after="0" w:line="136"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0"/>
          <w:numId w:val="2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Menetapkan target sasaran sosialisasi dan advokasi.</w:t>
      </w:r>
    </w:p>
    <w:p>
      <w:pPr>
        <w:spacing w:after="0" w:line="139" w:lineRule="exact"/>
        <w:rPr>
          <w:rFonts w:ascii="Times New Roman" w:cs="Times New Roman" w:eastAsia="Times New Roman" w:hAnsi="Times New Roman"/>
          <w:sz w:val="24"/>
          <w:szCs w:val="24"/>
          <w:color w:val="auto"/>
        </w:rPr>
      </w:pPr>
    </w:p>
    <w:p>
      <w:pPr>
        <w:ind w:left="2320" w:hanging="352"/>
        <w:spacing w:after="0"/>
        <w:tabs>
          <w:tab w:leader="none" w:pos="2320" w:val="left"/>
        </w:tabs>
        <w:numPr>
          <w:ilvl w:val="0"/>
          <w:numId w:val="29"/>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Mengkoordinasikan pelaksanaan rencana kerja.</w:t>
      </w:r>
    </w:p>
    <w:p>
      <w:pPr>
        <w:spacing w:after="0" w:line="148" w:lineRule="exact"/>
        <w:rPr>
          <w:rFonts w:ascii="Times New Roman" w:cs="Times New Roman" w:eastAsia="Times New Roman" w:hAnsi="Times New Roman"/>
          <w:sz w:val="24"/>
          <w:szCs w:val="24"/>
          <w:color w:val="auto"/>
        </w:rPr>
      </w:pPr>
    </w:p>
    <w:p>
      <w:pPr>
        <w:jc w:val="both"/>
        <w:ind w:left="1540" w:right="470" w:firstLine="428"/>
        <w:spacing w:after="0" w:line="376" w:lineRule="auto"/>
        <w:tabs>
          <w:tab w:leader="none" w:pos="2332" w:val="left"/>
        </w:tabs>
        <w:numPr>
          <w:ilvl w:val="0"/>
          <w:numId w:val="29"/>
        </w:numPr>
        <w:rPr>
          <w:rFonts w:ascii="Times New Roman" w:cs="Times New Roman" w:eastAsia="Times New Roman" w:hAnsi="Times New Roman"/>
          <w:sz w:val="23"/>
          <w:szCs w:val="23"/>
          <w:color w:val="auto"/>
        </w:rPr>
      </w:pPr>
      <w:r>
        <w:rPr>
          <w:rFonts w:ascii="Times New Roman" w:cs="Times New Roman" w:eastAsia="Times New Roman" w:hAnsi="Times New Roman"/>
          <w:sz w:val="23"/>
          <w:szCs w:val="23"/>
          <w:color w:val="auto"/>
        </w:rPr>
        <w:t>Melaporkan hasil pelaksanaan kegiatan sosialisasi dan advokasi. Gambaran singkat mengenai transformasi aspek sosialisasi dan advokasi.</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534670</wp:posOffset>
            </wp:positionH>
            <wp:positionV relativeFrom="paragraph">
              <wp:posOffset>-63500</wp:posOffset>
            </wp:positionV>
            <wp:extent cx="4997450" cy="27889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extLst>
                    </a:blip>
                    <a:srcRect/>
                    <a:stretch>
                      <a:fillRect/>
                    </a:stretch>
                  </pic:blipFill>
                  <pic:spPr bwMode="auto">
                    <a:xfrm>
                      <a:off x="0" y="0"/>
                      <a:ext cx="4997450" cy="278892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7" w:lineRule="exact"/>
        <w:rPr>
          <w:sz w:val="20"/>
          <w:szCs w:val="20"/>
          <w:color w:val="auto"/>
        </w:rPr>
      </w:pPr>
    </w:p>
    <w:p>
      <w:pPr>
        <w:ind w:left="820"/>
        <w:spacing w:after="0"/>
        <w:rPr>
          <w:sz w:val="20"/>
          <w:szCs w:val="20"/>
          <w:color w:val="auto"/>
        </w:rPr>
      </w:pPr>
      <w:r>
        <w:rPr>
          <w:rFonts w:ascii="Times New Roman" w:cs="Times New Roman" w:eastAsia="Times New Roman" w:hAnsi="Times New Roman"/>
          <w:sz w:val="24"/>
          <w:szCs w:val="24"/>
          <w:b w:val="1"/>
          <w:bCs w:val="1"/>
          <w:color w:val="auto"/>
        </w:rPr>
        <w:t>J. Analisis</w:t>
      </w:r>
    </w:p>
    <w:p>
      <w:pPr>
        <w:spacing w:after="0" w:line="144" w:lineRule="exact"/>
        <w:rPr>
          <w:sz w:val="20"/>
          <w:szCs w:val="20"/>
          <w:color w:val="auto"/>
        </w:rPr>
      </w:pPr>
    </w:p>
    <w:p>
      <w:pPr>
        <w:jc w:val="both"/>
        <w:ind w:left="1120" w:right="270" w:firstLine="437"/>
        <w:spacing w:after="0" w:line="359" w:lineRule="auto"/>
        <w:rPr>
          <w:sz w:val="20"/>
          <w:szCs w:val="20"/>
          <w:color w:val="auto"/>
        </w:rPr>
      </w:pPr>
      <w:r>
        <w:rPr>
          <w:rFonts w:ascii="Times New Roman" w:cs="Times New Roman" w:eastAsia="Times New Roman" w:hAnsi="Times New Roman"/>
          <w:sz w:val="24"/>
          <w:szCs w:val="24"/>
          <w:color w:val="auto"/>
        </w:rPr>
        <w:t>Dilihat dari strategi yang digunakan pada setiap aspek oleh PT TASPEN (Persero) untuk menjadi perusahaan kelas pertama (</w:t>
      </w:r>
      <w:r>
        <w:rPr>
          <w:rFonts w:ascii="Times New Roman" w:cs="Times New Roman" w:eastAsia="Times New Roman" w:hAnsi="Times New Roman"/>
          <w:sz w:val="24"/>
          <w:szCs w:val="24"/>
          <w:i w:val="1"/>
          <w:iCs w:val="1"/>
          <w:color w:val="auto"/>
        </w:rPr>
        <w:t>The first class</w:t>
      </w:r>
      <w:r>
        <w:rPr>
          <w:rFonts w:ascii="Times New Roman" w:cs="Times New Roman" w:eastAsia="Times New Roman" w:hAnsi="Times New Roman"/>
          <w:sz w:val="24"/>
          <w:szCs w:val="24"/>
          <w:color w:val="auto"/>
        </w:rPr>
        <w:t xml:space="preserve"> </w:t>
      </w:r>
      <w:r>
        <w:rPr>
          <w:rFonts w:ascii="Times New Roman" w:cs="Times New Roman" w:eastAsia="Times New Roman" w:hAnsi="Times New Roman"/>
          <w:sz w:val="24"/>
          <w:szCs w:val="24"/>
          <w:i w:val="1"/>
          <w:iCs w:val="1"/>
          <w:color w:val="auto"/>
        </w:rPr>
        <w:t>company)</w:t>
      </w:r>
      <w:r>
        <w:rPr>
          <w:rFonts w:ascii="Times New Roman" w:cs="Times New Roman" w:eastAsia="Times New Roman" w:hAnsi="Times New Roman"/>
          <w:sz w:val="24"/>
          <w:szCs w:val="24"/>
          <w:color w:val="auto"/>
        </w:rPr>
        <w:t>pada tahun 2029, maka terlihat bahwa perusahaan melakukan strategi</w:t>
      </w:r>
      <w:r>
        <w:rPr>
          <w:rFonts w:ascii="Times New Roman" w:cs="Times New Roman" w:eastAsia="Times New Roman" w:hAnsi="Times New Roman"/>
          <w:sz w:val="24"/>
          <w:szCs w:val="24"/>
          <w:i w:val="1"/>
          <w:iCs w:val="1"/>
          <w:color w:val="auto"/>
        </w:rPr>
        <w:t xml:space="preserve"> </w:t>
      </w:r>
      <w:r>
        <w:rPr>
          <w:rFonts w:ascii="Times New Roman" w:cs="Times New Roman" w:eastAsia="Times New Roman" w:hAnsi="Times New Roman"/>
          <w:sz w:val="24"/>
          <w:szCs w:val="24"/>
          <w:color w:val="auto"/>
        </w:rPr>
        <w:t xml:space="preserve">dengan tujuan agar PT TASPEN (Persero) tetap bertahan sebagai perusahaan yang memiliki wewenang dalam pengelolaan THT bagi ASN dan tidak digabungkan dengan BPJS Ketenagakerjaan, karena banyak perbedaan antara program yang dikembangkan oleh BPJS dengan PT TASPEN (Persero). Selain itu strategi yang diterapkan oleh PT TASPEN (Persero) juga bertujuan untuk mengejar pertumbuhan secara lebih agresif sehingga mampu mewujudkan target pada tahun 2029 sebagai </w:t>
      </w:r>
      <w:r>
        <w:rPr>
          <w:rFonts w:ascii="Times New Roman" w:cs="Times New Roman" w:eastAsia="Times New Roman" w:hAnsi="Times New Roman"/>
          <w:sz w:val="24"/>
          <w:szCs w:val="24"/>
          <w:i w:val="1"/>
          <w:iCs w:val="1"/>
          <w:color w:val="auto"/>
        </w:rPr>
        <w:t>The First Class Company.</w:t>
      </w:r>
      <w:r>
        <w:rPr>
          <w:rFonts w:ascii="Times New Roman" w:cs="Times New Roman" w:eastAsia="Times New Roman" w:hAnsi="Times New Roman"/>
          <w:sz w:val="24"/>
          <w:szCs w:val="24"/>
          <w:color w:val="auto"/>
        </w:rPr>
        <w:t xml:space="preserve">Analisis ini menunjukkan bahwa perusahaan menerapkan </w:t>
      </w:r>
      <w:r>
        <w:rPr>
          <w:rFonts w:ascii="Times New Roman" w:cs="Times New Roman" w:eastAsia="Times New Roman" w:hAnsi="Times New Roman"/>
          <w:sz w:val="24"/>
          <w:szCs w:val="24"/>
          <w:b w:val="1"/>
          <w:bCs w:val="1"/>
          <w:color w:val="auto"/>
        </w:rPr>
        <w:t>strategi Analyzer,</w:t>
      </w:r>
      <w:r>
        <w:rPr>
          <w:rFonts w:ascii="Times New Roman" w:cs="Times New Roman" w:eastAsia="Times New Roman" w:hAnsi="Times New Roman"/>
          <w:sz w:val="24"/>
          <w:szCs w:val="24"/>
          <w:color w:val="auto"/>
        </w:rPr>
        <w:t xml:space="preserve"> yaitu merupakan strategi gabungan antara strategi defender dan prospectors.</w:t>
      </w:r>
    </w:p>
    <w:sectPr>
      <w:pgSz w:w="11920" w:h="16845" w:orient="portrait"/>
      <w:cols w:equalWidth="0" w:num="1">
        <w:col w:w="9030"/>
      </w:cols>
      <w:pgMar w:left="1440" w:top="1440" w:right="144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0"/>
    <w:family w:val="auto"/>
    <w:pitch w:val="variable"/>
    <w:sig w:usb0="00000000" w:usb1="00000000" w:usb2="00000000" w:usb3="00000000" w:csb0="80000000" w:csb1="00000000"/>
  </w:font>
  <w:font w:name="Arial">
    <w:panose1 w:val="020B0604020202020204"/>
    <w:charset w:val="00"/>
    <w:family w:val="swiss"/>
    <w:pitch w:val="variable"/>
    <w:sig w:usb0="E0002AFF" w:usb1="C0007843" w:usb2="00000009" w:usb3="00000000" w:csb0="400001FF" w:csb1="FFFF0000"/>
  </w:font>
</w:fonts>
</file>

<file path=word/numbering.xml><?xml version="1.0" encoding="utf-8"?>
<w:numbering xmlns:w="http://schemas.openxmlformats.org/wordprocessingml/2006/main">
  <w:abstractNum w:abstractNumId="0">
    <w:nsid w:val="4DC8"/>
    <w:multiLevelType w:val="hybridMultilevel"/>
    <w:lvl w:ilvl="0">
      <w:lvlJc w:val="left"/>
      <w:lvlText w:val="%1."/>
      <w:numFmt w:val="upperLetter"/>
      <w:start w:val="1"/>
    </w:lvl>
  </w:abstractNum>
  <w:abstractNum w:abstractNumId="1">
    <w:nsid w:val="6443"/>
    <w:multiLevelType w:val="hybridMultilevel"/>
    <w:lvl w:ilvl="0">
      <w:lvlJc w:val="left"/>
      <w:lvlText w:val="%1."/>
      <w:numFmt w:val="upperLetter"/>
      <w:start w:val="2"/>
    </w:lvl>
    <w:lvl w:ilvl="1">
      <w:lvlJc w:val="left"/>
      <w:lvlText w:val="ÿ"/>
      <w:numFmt w:val="bullet"/>
      <w:start w:val="1"/>
    </w:lvl>
  </w:abstractNum>
  <w:abstractNum w:abstractNumId="2">
    <w:nsid w:val="66BB"/>
    <w:multiLevelType w:val="hybridMultilevel"/>
    <w:lvl w:ilvl="0">
      <w:lvlJc w:val="left"/>
      <w:lvlText w:val="%1."/>
      <w:numFmt w:val="upperLetter"/>
      <w:start w:val="3"/>
    </w:lvl>
    <w:lvl w:ilvl="1">
      <w:lvlJc w:val="left"/>
      <w:lvlText w:val="ÿ"/>
      <w:numFmt w:val="bullet"/>
      <w:start w:val="1"/>
    </w:lvl>
    <w:lvl w:ilvl="2">
      <w:lvlJc w:val="left"/>
      <w:lvlText w:val="%3."/>
      <w:numFmt w:val="lowerLetter"/>
      <w:start w:val="1"/>
    </w:lvl>
  </w:abstractNum>
  <w:abstractNum w:abstractNumId="3">
    <w:nsid w:val="428B"/>
    <w:multiLevelType w:val="hybridMultilevel"/>
    <w:lvl w:ilvl="0">
      <w:lvlJc w:val="left"/>
      <w:lvlText w:val="%1."/>
      <w:numFmt w:val="lowerLetter"/>
      <w:start w:val="1"/>
    </w:lvl>
    <w:lvl w:ilvl="1">
      <w:lvlJc w:val="left"/>
      <w:lvlText w:val="¸"/>
      <w:numFmt w:val="bullet"/>
      <w:start w:val="1"/>
    </w:lvl>
  </w:abstractNum>
  <w:abstractNum w:abstractNumId="4">
    <w:nsid w:val="26A6"/>
    <w:multiLevelType w:val="hybridMultilevel"/>
    <w:lvl w:ilvl="0">
      <w:lvlJc w:val="left"/>
      <w:lvlText w:val="¸"/>
      <w:numFmt w:val="bullet"/>
      <w:start w:val="1"/>
    </w:lvl>
  </w:abstractNum>
  <w:abstractNum w:abstractNumId="5">
    <w:nsid w:val="701F"/>
    <w:multiLevelType w:val="hybridMultilevel"/>
    <w:lvl w:ilvl="0">
      <w:lvlJc w:val="left"/>
      <w:lvlText w:val="¸"/>
      <w:numFmt w:val="bullet"/>
      <w:start w:val="1"/>
    </w:lvl>
  </w:abstractNum>
  <w:abstractNum w:abstractNumId="6">
    <w:nsid w:val="5D03"/>
    <w:multiLevelType w:val="hybridMultilevel"/>
    <w:lvl w:ilvl="0">
      <w:lvlJc w:val="left"/>
      <w:lvlText w:val="¸"/>
      <w:numFmt w:val="bullet"/>
      <w:start w:val="1"/>
    </w:lvl>
  </w:abstractNum>
  <w:abstractNum w:abstractNumId="7">
    <w:nsid w:val="7A5A"/>
    <w:multiLevelType w:val="hybridMultilevel"/>
    <w:lvl w:ilvl="0">
      <w:lvlJc w:val="left"/>
      <w:lvlText w:val="%1."/>
      <w:numFmt w:val="lowerLetter"/>
      <w:start w:val="2"/>
    </w:lvl>
    <w:lvl w:ilvl="1">
      <w:lvlJc w:val="left"/>
      <w:lvlText w:val="¸"/>
      <w:numFmt w:val="bullet"/>
      <w:start w:val="1"/>
    </w:lvl>
  </w:abstractNum>
  <w:abstractNum w:abstractNumId="8">
    <w:nsid w:val="767D"/>
    <w:multiLevelType w:val="hybridMultilevel"/>
    <w:lvl w:ilvl="0">
      <w:lvlJc w:val="left"/>
      <w:lvlText w:val="%1."/>
      <w:numFmt w:val="lowerLetter"/>
      <w:start w:val="3"/>
    </w:lvl>
    <w:lvl w:ilvl="1">
      <w:lvlJc w:val="left"/>
      <w:lvlText w:val="¸"/>
      <w:numFmt w:val="bullet"/>
      <w:start w:val="1"/>
    </w:lvl>
  </w:abstractNum>
  <w:abstractNum w:abstractNumId="9">
    <w:nsid w:val="4509"/>
    <w:multiLevelType w:val="hybridMultilevel"/>
    <w:lvl w:ilvl="0">
      <w:lvlJc w:val="left"/>
      <w:lvlText w:val="%1"/>
      <w:numFmt w:val="lowerLetter"/>
      <w:start w:val="1"/>
    </w:lvl>
    <w:lvl w:ilvl="1">
      <w:lvlJc w:val="left"/>
      <w:lvlText w:val="¸"/>
      <w:numFmt w:val="bullet"/>
      <w:start w:val="1"/>
    </w:lvl>
  </w:abstractNum>
  <w:abstractNum w:abstractNumId="10">
    <w:nsid w:val="1238"/>
    <w:multiLevelType w:val="hybridMultilevel"/>
    <w:lvl w:ilvl="0">
      <w:lvlJc w:val="left"/>
      <w:lvlText w:val="¸"/>
      <w:numFmt w:val="bullet"/>
      <w:start w:val="1"/>
    </w:lvl>
  </w:abstractNum>
  <w:abstractNum w:abstractNumId="11">
    <w:nsid w:val="3B25"/>
    <w:multiLevelType w:val="hybridMultilevel"/>
    <w:lvl w:ilvl="0">
      <w:lvlJc w:val="left"/>
      <w:lvlText w:val="%1."/>
      <w:numFmt w:val="decimal"/>
      <w:start w:val="1"/>
    </w:lvl>
  </w:abstractNum>
  <w:abstractNum w:abstractNumId="12">
    <w:nsid w:val="1E1F"/>
    <w:multiLevelType w:val="hybridMultilevel"/>
    <w:lvl w:ilvl="0">
      <w:lvlJc w:val="left"/>
      <w:lvlText w:val="%1"/>
      <w:numFmt w:val="upperLetter"/>
      <w:start w:val="1"/>
    </w:lvl>
    <w:lvl w:ilvl="1">
      <w:lvlJc w:val="left"/>
      <w:lvlText w:val="%2."/>
      <w:numFmt w:val="decimal"/>
      <w:start w:val="1"/>
    </w:lvl>
  </w:abstractNum>
  <w:abstractNum w:abstractNumId="13">
    <w:nsid w:val="6E5D"/>
    <w:multiLevelType w:val="hybridMultilevel"/>
    <w:lvl w:ilvl="0">
      <w:lvlJc w:val="left"/>
      <w:lvlText w:val="%1."/>
      <w:numFmt w:val="lowerLetter"/>
      <w:start w:val="1"/>
    </w:lvl>
    <w:lvl w:ilvl="1">
      <w:lvlJc w:val="left"/>
      <w:lvlText w:val="-"/>
      <w:numFmt w:val="bullet"/>
      <w:start w:val="1"/>
    </w:lvl>
  </w:abstractNum>
  <w:abstractNum w:abstractNumId="14">
    <w:nsid w:val="1AD4"/>
    <w:multiLevelType w:val="hybridMultilevel"/>
    <w:lvl w:ilvl="0">
      <w:lvlJc w:val="left"/>
      <w:lvlText w:val="%1."/>
      <w:numFmt w:val="lowerLetter"/>
      <w:start w:val="2"/>
    </w:lvl>
  </w:abstractNum>
  <w:abstractNum w:abstractNumId="15">
    <w:nsid w:val="63CB"/>
    <w:multiLevelType w:val="hybridMultilevel"/>
    <w:lvl w:ilvl="0">
      <w:lvlJc w:val="left"/>
      <w:lvlText w:val="%1."/>
      <w:numFmt w:val="lowerLetter"/>
      <w:start w:val="3"/>
    </w:lvl>
    <w:lvl w:ilvl="1">
      <w:lvlJc w:val="left"/>
      <w:lvlText w:val="-"/>
      <w:numFmt w:val="bullet"/>
      <w:start w:val="1"/>
    </w:lvl>
  </w:abstractNum>
  <w:abstractNum w:abstractNumId="16">
    <w:nsid w:val="6BFC"/>
    <w:multiLevelType w:val="hybridMultilevel"/>
    <w:lvl w:ilvl="0">
      <w:lvlJc w:val="left"/>
      <w:lvlText w:val="%1."/>
      <w:numFmt w:val="lowerLetter"/>
      <w:start w:val="4"/>
    </w:lvl>
    <w:lvl w:ilvl="1">
      <w:lvlJc w:val="left"/>
      <w:lvlText w:val="-"/>
      <w:numFmt w:val="bullet"/>
      <w:start w:val="1"/>
    </w:lvl>
  </w:abstractNum>
  <w:abstractNum w:abstractNumId="17">
    <w:nsid w:val="7F96"/>
    <w:multiLevelType w:val="hybridMultilevel"/>
    <w:lvl w:ilvl="0">
      <w:lvlJc w:val="left"/>
      <w:lvlText w:val="%1."/>
      <w:numFmt w:val="lowerLetter"/>
      <w:start w:val="7"/>
    </w:lvl>
    <w:lvl w:ilvl="1">
      <w:lvlJc w:val="left"/>
      <w:lvlText w:val="-"/>
      <w:numFmt w:val="bullet"/>
      <w:start w:val="1"/>
    </w:lvl>
  </w:abstractNum>
  <w:abstractNum w:abstractNumId="18">
    <w:nsid w:val="7FF5"/>
    <w:multiLevelType w:val="hybridMultilevel"/>
    <w:lvl w:ilvl="0">
      <w:lvlJc w:val="left"/>
      <w:lvlText w:val="%1."/>
      <w:numFmt w:val="lowerLetter"/>
      <w:start w:val="1"/>
    </w:lvl>
    <w:lvl w:ilvl="1">
      <w:lvlJc w:val="left"/>
      <w:lvlText w:val="-"/>
      <w:numFmt w:val="bullet"/>
      <w:start w:val="1"/>
    </w:lvl>
  </w:abstractNum>
  <w:abstractNum w:abstractNumId="19">
    <w:nsid w:val="4E45"/>
    <w:multiLevelType w:val="hybridMultilevel"/>
    <w:lvl w:ilvl="0">
      <w:lvlJc w:val="left"/>
      <w:lvlText w:val="%1."/>
      <w:numFmt w:val="lowerLetter"/>
      <w:start w:val="2"/>
    </w:lvl>
    <w:lvl w:ilvl="1">
      <w:lvlJc w:val="left"/>
      <w:lvlText w:val="-"/>
      <w:numFmt w:val="bullet"/>
      <w:start w:val="1"/>
    </w:lvl>
  </w:abstractNum>
  <w:abstractNum w:abstractNumId="20">
    <w:nsid w:val="323B"/>
    <w:multiLevelType w:val="hybridMultilevel"/>
    <w:lvl w:ilvl="0">
      <w:lvlJc w:val="left"/>
      <w:lvlText w:val="%1."/>
      <w:numFmt w:val="lowerLetter"/>
      <w:start w:val="3"/>
    </w:lvl>
    <w:lvl w:ilvl="1">
      <w:lvlJc w:val="left"/>
      <w:lvlText w:val="-"/>
      <w:numFmt w:val="bullet"/>
      <w:start w:val="1"/>
    </w:lvl>
  </w:abstractNum>
  <w:abstractNum w:abstractNumId="21">
    <w:nsid w:val="2213"/>
    <w:multiLevelType w:val="hybridMultilevel"/>
    <w:lvl w:ilvl="0">
      <w:lvlJc w:val="left"/>
      <w:lvlText w:val="-"/>
      <w:numFmt w:val="bullet"/>
      <w:start w:val="1"/>
    </w:lvl>
  </w:abstractNum>
  <w:abstractNum w:abstractNumId="22">
    <w:nsid w:val="260D"/>
    <w:multiLevelType w:val="hybridMultilevel"/>
    <w:lvl w:ilvl="0">
      <w:lvlJc w:val="left"/>
      <w:lvlText w:val="%1."/>
      <w:numFmt w:val="lowerLetter"/>
      <w:start w:val="4"/>
    </w:lvl>
    <w:lvl w:ilvl="1">
      <w:lvlJc w:val="left"/>
      <w:lvlText w:val="-"/>
      <w:numFmt w:val="bullet"/>
      <w:start w:val="1"/>
    </w:lvl>
  </w:abstractNum>
  <w:abstractNum w:abstractNumId="23">
    <w:nsid w:val="6B89"/>
    <w:multiLevelType w:val="hybridMultilevel"/>
    <w:lvl w:ilvl="0">
      <w:lvlJc w:val="left"/>
      <w:lvlText w:val="%1."/>
      <w:numFmt w:val="lowerLetter"/>
      <w:start w:val="5"/>
    </w:lvl>
    <w:lvl w:ilvl="1">
      <w:lvlJc w:val="left"/>
      <w:lvlText w:val="-"/>
      <w:numFmt w:val="bullet"/>
      <w:start w:val="1"/>
    </w:lvl>
  </w:abstractNum>
  <w:abstractNum w:abstractNumId="24">
    <w:nsid w:val="30A"/>
    <w:multiLevelType w:val="hybridMultilevel"/>
    <w:lvl w:ilvl="0">
      <w:lvlJc w:val="left"/>
      <w:lvlText w:val="%1."/>
      <w:numFmt w:val="lowerLetter"/>
      <w:start w:val="6"/>
    </w:lvl>
    <w:lvl w:ilvl="1">
      <w:lvlJc w:val="left"/>
      <w:lvlText w:val="-"/>
      <w:numFmt w:val="bullet"/>
      <w:start w:val="1"/>
    </w:lvl>
  </w:abstractNum>
  <w:abstractNum w:abstractNumId="25">
    <w:nsid w:val="301C"/>
    <w:multiLevelType w:val="hybridMultilevel"/>
    <w:lvl w:ilvl="0">
      <w:lvlJc w:val="left"/>
      <w:lvlText w:val="-"/>
      <w:numFmt w:val="bullet"/>
      <w:start w:val="1"/>
    </w:lvl>
  </w:abstractNum>
  <w:abstractNum w:abstractNumId="26">
    <w:nsid w:val="BDB"/>
    <w:multiLevelType w:val="hybridMultilevel"/>
    <w:lvl w:ilvl="0">
      <w:lvlJc w:val="left"/>
      <w:lvlText w:val="%1."/>
      <w:numFmt w:val="lowerLetter"/>
      <w:start w:val="7"/>
    </w:lvl>
    <w:lvl w:ilvl="1">
      <w:lvlJc w:val="left"/>
      <w:lvlText w:val="-"/>
      <w:numFmt w:val="bullet"/>
      <w:start w:val="1"/>
    </w:lvl>
  </w:abstractNum>
  <w:abstractNum w:abstractNumId="27">
    <w:nsid w:val="56AE"/>
    <w:multiLevelType w:val="hybridMultilevel"/>
    <w:lvl w:ilvl="0">
      <w:lvlJc w:val="left"/>
      <w:lvlText w:val="%1."/>
      <w:numFmt w:val="lowerLetter"/>
      <w:start w:val="8"/>
    </w:lvl>
    <w:lvl w:ilvl="1">
      <w:lvlJc w:val="left"/>
      <w:lvlText w:val="-"/>
      <w:numFmt w:val="bullet"/>
      <w:start w:val="1"/>
    </w:lvl>
  </w:abstractNum>
  <w:abstractNum w:abstractNumId="28">
    <w:nsid w:val="732"/>
    <w:multiLevelType w:val="hybridMultilevel"/>
    <w:lvl w:ilvl="0">
      <w:lvlJc w:val="left"/>
      <w:lvlText w:val="-"/>
      <w:numFmt w:val="bullet"/>
      <w:start w:val="1"/>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numbering" Target="numbering.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20" Type="http://schemas.openxmlformats.org/officeDocument/2006/relationships/image" Target="media/image13.jpe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2016-12-29T20:45:40Z</dcterms:created>
  <dcterms:modified xsi:type="dcterms:W3CDTF">2016-12-29T20:45:40Z</dcterms:modified>
</cp:coreProperties>
</file>