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F48" w:rsidRPr="00B60DF9" w:rsidRDefault="00703778" w:rsidP="00B60DF9">
      <w:pPr>
        <w:jc w:val="both"/>
        <w:rPr>
          <w:rFonts w:ascii="Times New Roman" w:hAnsi="Times New Roman" w:cs="Times New Roman"/>
          <w:sz w:val="24"/>
          <w:szCs w:val="24"/>
        </w:rPr>
      </w:pPr>
      <w:r w:rsidRPr="00B60DF9">
        <w:rPr>
          <w:rFonts w:ascii="Times New Roman" w:hAnsi="Times New Roman" w:cs="Times New Roman"/>
          <w:sz w:val="24"/>
          <w:szCs w:val="24"/>
        </w:rPr>
        <w:t>M Farras Abyan</w:t>
      </w:r>
    </w:p>
    <w:p w:rsidR="00703778" w:rsidRPr="00B60DF9" w:rsidRDefault="00703778" w:rsidP="00B60DF9">
      <w:pPr>
        <w:jc w:val="both"/>
        <w:rPr>
          <w:rFonts w:ascii="Times New Roman" w:hAnsi="Times New Roman" w:cs="Times New Roman"/>
          <w:sz w:val="24"/>
          <w:szCs w:val="24"/>
        </w:rPr>
      </w:pPr>
      <w:r w:rsidRPr="00B60DF9">
        <w:rPr>
          <w:rFonts w:ascii="Times New Roman" w:hAnsi="Times New Roman" w:cs="Times New Roman"/>
          <w:sz w:val="24"/>
          <w:szCs w:val="24"/>
        </w:rPr>
        <w:t>14808141032</w:t>
      </w:r>
    </w:p>
    <w:p w:rsidR="00703778" w:rsidRPr="00B60DF9" w:rsidRDefault="00703778" w:rsidP="00B60DF9">
      <w:pPr>
        <w:jc w:val="both"/>
        <w:rPr>
          <w:rFonts w:ascii="Times New Roman" w:hAnsi="Times New Roman" w:cs="Times New Roman"/>
          <w:sz w:val="24"/>
          <w:szCs w:val="24"/>
        </w:rPr>
      </w:pPr>
      <w:r w:rsidRPr="00B60DF9">
        <w:rPr>
          <w:rFonts w:ascii="Times New Roman" w:hAnsi="Times New Roman" w:cs="Times New Roman"/>
          <w:sz w:val="24"/>
          <w:szCs w:val="24"/>
        </w:rPr>
        <w:t>Manajemen SDM 2014</w:t>
      </w:r>
    </w:p>
    <w:p w:rsidR="00703778" w:rsidRPr="00B60DF9" w:rsidRDefault="00703778" w:rsidP="00B60DF9">
      <w:pPr>
        <w:jc w:val="both"/>
        <w:rPr>
          <w:rFonts w:ascii="Times New Roman" w:hAnsi="Times New Roman" w:cs="Times New Roman"/>
          <w:b/>
          <w:sz w:val="24"/>
          <w:szCs w:val="24"/>
        </w:rPr>
      </w:pPr>
      <w:r w:rsidRPr="00B60DF9">
        <w:rPr>
          <w:rFonts w:ascii="Times New Roman" w:hAnsi="Times New Roman" w:cs="Times New Roman"/>
          <w:b/>
          <w:sz w:val="24"/>
          <w:szCs w:val="24"/>
        </w:rPr>
        <w:t>Company Profile</w:t>
      </w:r>
    </w:p>
    <w:p w:rsidR="00C463E1" w:rsidRPr="00B60DF9" w:rsidRDefault="00C463E1" w:rsidP="00B60DF9">
      <w:pPr>
        <w:ind w:firstLine="720"/>
        <w:jc w:val="both"/>
        <w:rPr>
          <w:rFonts w:ascii="Times New Roman" w:hAnsi="Times New Roman" w:cs="Times New Roman"/>
          <w:sz w:val="24"/>
          <w:szCs w:val="24"/>
        </w:rPr>
      </w:pPr>
      <w:r w:rsidRPr="00B60DF9">
        <w:rPr>
          <w:rFonts w:ascii="Times New Roman" w:hAnsi="Times New Roman" w:cs="Times New Roman"/>
          <w:sz w:val="24"/>
          <w:szCs w:val="24"/>
        </w:rPr>
        <w:t>PT. AIA FINANCIAL (AIA) merupakan salah satu perusahaan asuransi jiwa terkemuka di Indonesia dan merupakan perusahaan asuransi jiwa yang terdaftar di dan diawasi oleh Otoritas Jasa Keuangan.</w:t>
      </w:r>
    </w:p>
    <w:p w:rsidR="00C463E1" w:rsidRPr="00B60DF9" w:rsidRDefault="00C463E1" w:rsidP="00B60DF9">
      <w:pPr>
        <w:ind w:firstLine="720"/>
        <w:jc w:val="both"/>
        <w:rPr>
          <w:rFonts w:ascii="Times New Roman" w:hAnsi="Times New Roman" w:cs="Times New Roman"/>
          <w:sz w:val="24"/>
          <w:szCs w:val="24"/>
        </w:rPr>
      </w:pPr>
      <w:r w:rsidRPr="00B60DF9">
        <w:rPr>
          <w:rFonts w:ascii="Times New Roman" w:hAnsi="Times New Roman" w:cs="Times New Roman"/>
          <w:sz w:val="24"/>
          <w:szCs w:val="24"/>
        </w:rPr>
        <w:t>Pada tahun 2009, PT AIG Life berubah nama menjadi PT AIA Financial Berdasarkan surat nomor 042/LGL-AIGL/Srt/V/2009 tanggal 27 Mei 2009. dan sesuai Salinan Akta Pernyataan Keputusan Pemegang Saham PT AIG Life nomor 35 tanggal 29 April 2009 yang dibuat oleh notaris Merryana Suryana, SH dan disetujui oleh Menteri Hukum dan Hak Asasi Manusia melalui Keputusan Menteri Hukum dan Hak Asasi Manusia Nomor AHU – 21773.AH.01.02 Tahun 2009 tanggal 19 Mei 2009 menyatakan bahwa surat Menteri Keunagan nomor S-078/MK.5/2005 tanggal 1 Februari 2005 berlaku untuk nama baru PT. AIA  Financial yang sebelum nya PT AIG Life.</w:t>
      </w:r>
    </w:p>
    <w:p w:rsidR="00703778" w:rsidRPr="00B60DF9" w:rsidRDefault="00C463E1" w:rsidP="00B60DF9">
      <w:pPr>
        <w:ind w:firstLine="720"/>
        <w:jc w:val="both"/>
        <w:rPr>
          <w:rFonts w:ascii="Times New Roman" w:hAnsi="Times New Roman" w:cs="Times New Roman"/>
          <w:sz w:val="24"/>
          <w:szCs w:val="24"/>
        </w:rPr>
      </w:pPr>
      <w:r w:rsidRPr="00B60DF9">
        <w:rPr>
          <w:rFonts w:ascii="Times New Roman" w:hAnsi="Times New Roman" w:cs="Times New Roman"/>
          <w:sz w:val="24"/>
          <w:szCs w:val="24"/>
        </w:rPr>
        <w:t>AIA di Indonesia merupakan anak perusahaan AIA Group. AIA menawarkan berbagai produk asuransi, termasuk asuransi dengan prinsip Syariah, yang meliputi asuransi jiwa, asuransi kesehatan, asuransi kecelakaan diri, asuransi yang dikaitkan dengan investasi, program kesejahteraan karyawan, program pesangon, dan program Dana Pensiun (DPLK). Produk-produk tersebut dipasarkan oleh lebih dari 10.000 tenaga penjual berpengalaman dan profesional melalui beragam jalur distribusi seperti keagenan, Bancassurance dan Corporate Solutions (Pension &amp; Employee Benefits)</w:t>
      </w:r>
    </w:p>
    <w:p w:rsidR="00C463E1" w:rsidRPr="00B60DF9" w:rsidRDefault="00B60DF9" w:rsidP="00B60DF9">
      <w:pPr>
        <w:jc w:val="both"/>
        <w:rPr>
          <w:rFonts w:ascii="Times New Roman" w:hAnsi="Times New Roman" w:cs="Times New Roman"/>
          <w:b/>
          <w:sz w:val="24"/>
          <w:szCs w:val="24"/>
        </w:rPr>
      </w:pPr>
      <w:r w:rsidRPr="00B60DF9">
        <w:rPr>
          <w:rFonts w:ascii="Times New Roman" w:hAnsi="Times New Roman" w:cs="Times New Roman"/>
          <w:b/>
          <w:sz w:val="24"/>
          <w:szCs w:val="24"/>
        </w:rPr>
        <w:t xml:space="preserve">Visi &amp; Misi </w:t>
      </w:r>
    </w:p>
    <w:p w:rsidR="00B60DF9" w:rsidRPr="00B60DF9" w:rsidRDefault="00B60DF9" w:rsidP="00B60DF9">
      <w:pPr>
        <w:jc w:val="both"/>
        <w:rPr>
          <w:rFonts w:ascii="Times New Roman" w:hAnsi="Times New Roman" w:cs="Times New Roman"/>
          <w:sz w:val="24"/>
          <w:szCs w:val="24"/>
        </w:rPr>
      </w:pPr>
      <w:r w:rsidRPr="00B60DF9">
        <w:rPr>
          <w:rFonts w:ascii="Times New Roman" w:hAnsi="Times New Roman" w:cs="Times New Roman"/>
          <w:sz w:val="24"/>
          <w:szCs w:val="24"/>
        </w:rPr>
        <w:t>Visi</w:t>
      </w:r>
    </w:p>
    <w:p w:rsidR="00B60DF9" w:rsidRPr="00B60DF9" w:rsidRDefault="00B60DF9" w:rsidP="00B60DF9">
      <w:pPr>
        <w:jc w:val="both"/>
        <w:rPr>
          <w:rFonts w:ascii="Times New Roman" w:hAnsi="Times New Roman" w:cs="Times New Roman"/>
          <w:sz w:val="24"/>
          <w:szCs w:val="24"/>
        </w:rPr>
      </w:pPr>
      <w:r w:rsidRPr="00B60DF9">
        <w:rPr>
          <w:rFonts w:ascii="Times New Roman" w:hAnsi="Times New Roman" w:cs="Times New Roman"/>
          <w:sz w:val="24"/>
          <w:szCs w:val="24"/>
        </w:rPr>
        <w:t>Menjadi penyedia jasa keuangan yang paling dibutuhkan dan terpercaya di Indonesia</w:t>
      </w:r>
    </w:p>
    <w:p w:rsidR="00B60DF9" w:rsidRPr="00B60DF9" w:rsidRDefault="00B60DF9" w:rsidP="00B60DF9">
      <w:pPr>
        <w:jc w:val="both"/>
        <w:rPr>
          <w:rFonts w:ascii="Times New Roman" w:hAnsi="Times New Roman" w:cs="Times New Roman"/>
          <w:sz w:val="24"/>
          <w:szCs w:val="24"/>
        </w:rPr>
      </w:pPr>
      <w:r w:rsidRPr="00B60DF9">
        <w:rPr>
          <w:rFonts w:ascii="Times New Roman" w:hAnsi="Times New Roman" w:cs="Times New Roman"/>
          <w:sz w:val="24"/>
          <w:szCs w:val="24"/>
        </w:rPr>
        <w:t>Misi</w:t>
      </w:r>
    </w:p>
    <w:p w:rsidR="00964CAC" w:rsidRPr="00C87274" w:rsidRDefault="00B60DF9" w:rsidP="00B60DF9">
      <w:pPr>
        <w:jc w:val="both"/>
        <w:rPr>
          <w:rFonts w:ascii="Times New Roman" w:hAnsi="Times New Roman" w:cs="Times New Roman"/>
          <w:sz w:val="24"/>
          <w:szCs w:val="24"/>
        </w:rPr>
      </w:pPr>
      <w:r w:rsidRPr="00B60DF9">
        <w:rPr>
          <w:rFonts w:ascii="Times New Roman" w:hAnsi="Times New Roman" w:cs="Times New Roman"/>
          <w:sz w:val="24"/>
          <w:szCs w:val="24"/>
        </w:rPr>
        <w:t>Untuk meningkatkan kehidupan masyarakat Indonesia dengan memenuhi kebutuhan financial mereka yang senantiasa berubah sambil memahami harapan para pemegang polis, mitra perusahaan dan pemegang saham</w:t>
      </w:r>
      <w:r w:rsidR="00CF02CC">
        <w:rPr>
          <w:rFonts w:ascii="Times New Roman" w:hAnsi="Times New Roman" w:cs="Times New Roman"/>
          <w:sz w:val="24"/>
          <w:szCs w:val="24"/>
        </w:rPr>
        <w:t>.</w:t>
      </w:r>
      <w:bookmarkStart w:id="0" w:name="_GoBack"/>
      <w:bookmarkEnd w:id="0"/>
    </w:p>
    <w:p w:rsidR="0046458D" w:rsidRDefault="001E362C" w:rsidP="00B60DF9">
      <w:pPr>
        <w:jc w:val="both"/>
        <w:rPr>
          <w:rFonts w:ascii="Times New Roman" w:hAnsi="Times New Roman" w:cs="Times New Roman"/>
          <w:b/>
          <w:sz w:val="24"/>
          <w:szCs w:val="24"/>
        </w:rPr>
      </w:pPr>
      <w:r w:rsidRPr="001E362C">
        <w:rPr>
          <w:rFonts w:ascii="Times New Roman" w:hAnsi="Times New Roman" w:cs="Times New Roman"/>
          <w:b/>
          <w:sz w:val="24"/>
          <w:szCs w:val="24"/>
        </w:rPr>
        <w:t>Strategi Jangka Panjang</w:t>
      </w:r>
    </w:p>
    <w:p w:rsidR="0046458D" w:rsidRPr="0046458D" w:rsidRDefault="0046458D" w:rsidP="00B60DF9">
      <w:pPr>
        <w:jc w:val="both"/>
        <w:rPr>
          <w:rFonts w:ascii="Times New Roman" w:hAnsi="Times New Roman" w:cs="Times New Roman"/>
          <w:sz w:val="24"/>
          <w:szCs w:val="24"/>
        </w:rPr>
      </w:pPr>
      <w:r w:rsidRPr="00B60DF9">
        <w:rPr>
          <w:rFonts w:ascii="Times New Roman" w:hAnsi="Times New Roman" w:cs="Times New Roman"/>
          <w:sz w:val="24"/>
          <w:szCs w:val="24"/>
        </w:rPr>
        <w:t>Untuk meningkatkan kehidupan masyarakat Indonesia dengan memenuhi kebutuhan financial mereka yang senantiasa berubah sambil memahami harapan para pemegang polis, mitra perusahaan dan pemegang saham</w:t>
      </w:r>
    </w:p>
    <w:p w:rsidR="00F165B7" w:rsidRDefault="00F165B7" w:rsidP="00B60DF9">
      <w:pPr>
        <w:jc w:val="both"/>
        <w:rPr>
          <w:rFonts w:ascii="Times New Roman" w:hAnsi="Times New Roman" w:cs="Times New Roman"/>
          <w:b/>
          <w:sz w:val="24"/>
          <w:szCs w:val="24"/>
        </w:rPr>
      </w:pPr>
      <w:r>
        <w:rPr>
          <w:rFonts w:ascii="Times New Roman" w:hAnsi="Times New Roman" w:cs="Times New Roman"/>
          <w:b/>
          <w:sz w:val="24"/>
          <w:szCs w:val="24"/>
        </w:rPr>
        <w:t>Implementasi</w:t>
      </w:r>
    </w:p>
    <w:p w:rsidR="00F165B7" w:rsidRDefault="00F165B7" w:rsidP="00B60DF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Untuk mencapai strategi jangka panjang yang telah diterapkan, AIA Financial berusaha terus meningkatkan kinerjanya. Pada akhir tahun finansial yaitu November 2015 lalu, AIA Financial menunjukkan hasil kinerja yang sangat baik. </w:t>
      </w:r>
    </w:p>
    <w:p w:rsidR="00F165B7" w:rsidRDefault="00F165B7" w:rsidP="00F165B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Pertumbuhan pesat pada Nilai Bisnis Baru (VONB)</w:t>
      </w:r>
    </w:p>
    <w:p w:rsidR="00F165B7" w:rsidRDefault="00F165B7" w:rsidP="00F165B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26% pertumbuhan VONB hingga USD 2.198 juta</w:t>
      </w:r>
    </w:p>
    <w:p w:rsidR="00F165B7" w:rsidRDefault="00F165B7" w:rsidP="00F165B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Premi Tahunan Baru (ANP) sebesar USD 3.1991 juta, meningkat 14%</w:t>
      </w:r>
    </w:p>
    <w:p w:rsidR="00F165B7" w:rsidRDefault="00F165B7" w:rsidP="00F165B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Peningkatan sebesar 4,6 pps dalam marjin VONB menjadi 54,0%</w:t>
      </w:r>
    </w:p>
    <w:p w:rsidR="00F165B7" w:rsidRDefault="00F165B7" w:rsidP="00F165B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Pertumbuhan laba operasional yang kuat </w:t>
      </w:r>
    </w:p>
    <w:p w:rsidR="00F165B7" w:rsidRDefault="00F165B7" w:rsidP="00F165B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Laba operasional IFRS setelah pajak (OPAT) meningkat 16% menjadi USD 3.209 juta</w:t>
      </w:r>
    </w:p>
    <w:p w:rsidR="00F165B7" w:rsidRDefault="00F165B7" w:rsidP="00F165B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Pendapatan operasional IFRS per lembar saham meningkat 16% menjadi US 26.81 sen</w:t>
      </w:r>
    </w:p>
    <w:p w:rsidR="00F165B7" w:rsidRDefault="00F165B7" w:rsidP="00F165B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Laba operasi Embedded Value (EV) meningkat 17% menjadi USD 5.068 juta</w:t>
      </w:r>
    </w:p>
    <w:p w:rsidR="00F165B7" w:rsidRDefault="00F165B7" w:rsidP="00F165B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Cash flow serta posisi modal yang kuat</w:t>
      </w:r>
    </w:p>
    <w:p w:rsidR="002164FD" w:rsidRPr="002164FD" w:rsidRDefault="002164FD" w:rsidP="002164FD">
      <w:pPr>
        <w:pStyle w:val="ListParagraph"/>
        <w:numPr>
          <w:ilvl w:val="0"/>
          <w:numId w:val="4"/>
        </w:numPr>
        <w:jc w:val="both"/>
        <w:rPr>
          <w:rFonts w:ascii="Times New Roman" w:hAnsi="Times New Roman" w:cs="Times New Roman"/>
          <w:sz w:val="24"/>
          <w:szCs w:val="24"/>
        </w:rPr>
      </w:pPr>
      <w:r w:rsidRPr="002164FD">
        <w:rPr>
          <w:rFonts w:ascii="Times New Roman" w:hAnsi="Times New Roman" w:cs="Times New Roman"/>
          <w:sz w:val="24"/>
          <w:szCs w:val="24"/>
        </w:rPr>
        <w:t>Underlying free surplus generation sebesar USD 3.719 juta, meningkat 10 persen pada kurs tetap.</w:t>
      </w:r>
    </w:p>
    <w:p w:rsidR="002164FD" w:rsidRPr="002164FD" w:rsidRDefault="002164FD" w:rsidP="002164FD">
      <w:pPr>
        <w:pStyle w:val="ListParagraph"/>
        <w:numPr>
          <w:ilvl w:val="0"/>
          <w:numId w:val="4"/>
        </w:numPr>
        <w:jc w:val="both"/>
        <w:rPr>
          <w:rFonts w:ascii="Times New Roman" w:hAnsi="Times New Roman" w:cs="Times New Roman"/>
          <w:sz w:val="24"/>
          <w:szCs w:val="24"/>
        </w:rPr>
      </w:pPr>
      <w:r w:rsidRPr="002164FD">
        <w:rPr>
          <w:rFonts w:ascii="Times New Roman" w:hAnsi="Times New Roman" w:cs="Times New Roman"/>
          <w:sz w:val="24"/>
          <w:szCs w:val="24"/>
        </w:rPr>
        <w:t>Penerimaan bersih meningkat 28 persen menjadi USD 2.195 juta.</w:t>
      </w:r>
    </w:p>
    <w:p w:rsidR="002164FD" w:rsidRPr="002164FD" w:rsidRDefault="002164FD" w:rsidP="002164FD">
      <w:pPr>
        <w:pStyle w:val="ListParagraph"/>
        <w:numPr>
          <w:ilvl w:val="0"/>
          <w:numId w:val="4"/>
        </w:numPr>
        <w:jc w:val="both"/>
        <w:rPr>
          <w:rFonts w:ascii="Times New Roman" w:hAnsi="Times New Roman" w:cs="Times New Roman"/>
          <w:sz w:val="24"/>
          <w:szCs w:val="24"/>
        </w:rPr>
      </w:pPr>
      <w:r w:rsidRPr="002164FD">
        <w:rPr>
          <w:rFonts w:ascii="Times New Roman" w:hAnsi="Times New Roman" w:cs="Times New Roman"/>
          <w:sz w:val="24"/>
          <w:szCs w:val="24"/>
        </w:rPr>
        <w:t>Ekuitas EV sebesar USD 39,8 miliar; EV meningkat menjadi USD 38.2 miliar.</w:t>
      </w:r>
    </w:p>
    <w:p w:rsidR="00F165B7" w:rsidRPr="002164FD" w:rsidRDefault="002164FD" w:rsidP="002164FD">
      <w:pPr>
        <w:pStyle w:val="ListParagraph"/>
        <w:numPr>
          <w:ilvl w:val="0"/>
          <w:numId w:val="4"/>
        </w:numPr>
        <w:jc w:val="both"/>
        <w:rPr>
          <w:rFonts w:ascii="Times New Roman" w:hAnsi="Times New Roman" w:cs="Times New Roman"/>
          <w:sz w:val="24"/>
          <w:szCs w:val="24"/>
        </w:rPr>
      </w:pPr>
      <w:r w:rsidRPr="002164FD">
        <w:rPr>
          <w:rFonts w:ascii="Times New Roman" w:hAnsi="Times New Roman" w:cs="Times New Roman"/>
          <w:sz w:val="24"/>
          <w:szCs w:val="24"/>
        </w:rPr>
        <w:t>Rasio solvabilitas untuk AIA Co. sebesar 428 persen berdasarkan HKICO.</w:t>
      </w:r>
    </w:p>
    <w:p w:rsidR="00F165B7" w:rsidRDefault="00F165B7" w:rsidP="00F165B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Peningkatan signifikan dalam deviden akhir yang direkomendasikan </w:t>
      </w:r>
    </w:p>
    <w:p w:rsidR="002164FD" w:rsidRPr="002164FD" w:rsidRDefault="002164FD" w:rsidP="002164FD">
      <w:pPr>
        <w:pStyle w:val="ListParagraph"/>
        <w:numPr>
          <w:ilvl w:val="0"/>
          <w:numId w:val="5"/>
        </w:numPr>
        <w:jc w:val="both"/>
        <w:rPr>
          <w:rFonts w:ascii="Times New Roman" w:hAnsi="Times New Roman" w:cs="Times New Roman"/>
          <w:sz w:val="24"/>
          <w:szCs w:val="24"/>
        </w:rPr>
      </w:pPr>
      <w:r w:rsidRPr="002164FD">
        <w:rPr>
          <w:rFonts w:ascii="Times New Roman" w:hAnsi="Times New Roman" w:cs="Times New Roman"/>
          <w:sz w:val="24"/>
          <w:szCs w:val="24"/>
        </w:rPr>
        <w:t>Peningkatan dividen akhir sebesar 50 persen menjadi 51,00 Hong Kong sen per saham.</w:t>
      </w:r>
    </w:p>
    <w:p w:rsidR="002164FD" w:rsidRPr="002164FD" w:rsidRDefault="002164FD" w:rsidP="002164FD">
      <w:pPr>
        <w:pStyle w:val="ListParagraph"/>
        <w:numPr>
          <w:ilvl w:val="0"/>
          <w:numId w:val="5"/>
        </w:numPr>
        <w:jc w:val="both"/>
        <w:rPr>
          <w:rFonts w:ascii="Times New Roman" w:hAnsi="Times New Roman" w:cs="Times New Roman"/>
          <w:sz w:val="24"/>
          <w:szCs w:val="24"/>
        </w:rPr>
      </w:pPr>
      <w:r w:rsidRPr="002164FD">
        <w:rPr>
          <w:rFonts w:ascii="Times New Roman" w:hAnsi="Times New Roman" w:cs="Times New Roman"/>
          <w:sz w:val="24"/>
          <w:szCs w:val="24"/>
        </w:rPr>
        <w:t>Dividen total sebesar 69,72 Hong Kong sen per saham, peningkatan sebesar 39 persen.</w:t>
      </w:r>
    </w:p>
    <w:p w:rsidR="001E362C" w:rsidRDefault="001E362C" w:rsidP="00B60DF9">
      <w:pPr>
        <w:jc w:val="both"/>
        <w:rPr>
          <w:rFonts w:ascii="Times New Roman" w:hAnsi="Times New Roman" w:cs="Times New Roman"/>
          <w:b/>
          <w:sz w:val="24"/>
          <w:szCs w:val="24"/>
        </w:rPr>
      </w:pPr>
      <w:r>
        <w:rPr>
          <w:rFonts w:ascii="Times New Roman" w:hAnsi="Times New Roman" w:cs="Times New Roman"/>
          <w:b/>
          <w:sz w:val="24"/>
          <w:szCs w:val="24"/>
        </w:rPr>
        <w:t>Road Map</w:t>
      </w:r>
    </w:p>
    <w:p w:rsidR="00531CEB" w:rsidRDefault="00531CEB" w:rsidP="00B60DF9">
      <w:pPr>
        <w:jc w:val="both"/>
        <w:rPr>
          <w:rFonts w:ascii="Times New Roman" w:hAnsi="Times New Roman" w:cs="Times New Roman"/>
          <w:b/>
          <w:sz w:val="24"/>
          <w:szCs w:val="24"/>
        </w:rPr>
      </w:pPr>
      <w:r w:rsidRPr="00531CEB">
        <w:rPr>
          <w:rFonts w:ascii="Times New Roman" w:hAnsi="Times New Roman" w:cs="Times New Roman"/>
          <w:b/>
          <w:noProof/>
          <w:sz w:val="24"/>
          <w:szCs w:val="24"/>
        </w:rPr>
        <w:drawing>
          <wp:inline distT="0" distB="0" distL="0" distR="0" wp14:anchorId="2EAA5886" wp14:editId="66172586">
            <wp:extent cx="5943600" cy="2650490"/>
            <wp:effectExtent l="0" t="0" r="0" b="0"/>
            <wp:docPr id="1026" name="Picture 2" descr="FPS+Roadmap.png (873×58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FPS+Roadmap.png (873×581)"/>
                    <pic:cNvPicPr>
                      <a:picLocks noGrp="1" noChangeAspect="1" noChangeArrowheads="1"/>
                    </pic:cNvPicPr>
                  </pic:nvPicPr>
                  <pic:blipFill rotWithShape="1">
                    <a:blip r:embed="rId5">
                      <a:extLst>
                        <a:ext uri="{28A0092B-C50C-407E-A947-70E740481C1C}">
                          <a14:useLocalDpi xmlns:a14="http://schemas.microsoft.com/office/drawing/2010/main" val="0"/>
                        </a:ext>
                      </a:extLst>
                    </a:blip>
                    <a:srcRect l="-295" t="17239"/>
                    <a:stretch/>
                  </pic:blipFill>
                  <pic:spPr bwMode="auto">
                    <a:xfrm>
                      <a:off x="0" y="0"/>
                      <a:ext cx="5943600" cy="2650490"/>
                    </a:xfrm>
                    <a:prstGeom prst="rect">
                      <a:avLst/>
                    </a:prstGeom>
                    <a:noFill/>
                    <a:extLst/>
                  </pic:spPr>
                </pic:pic>
              </a:graphicData>
            </a:graphic>
          </wp:inline>
        </w:drawing>
      </w:r>
    </w:p>
    <w:p w:rsidR="00CA574A" w:rsidRPr="00CA574A" w:rsidRDefault="00CA574A" w:rsidP="00CA574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Membangun penasehat baru dan professional di 2013</w:t>
      </w:r>
    </w:p>
    <w:p w:rsidR="00CA574A" w:rsidRPr="00CA574A" w:rsidRDefault="00CA574A" w:rsidP="00CA574A">
      <w:pPr>
        <w:pStyle w:val="ListParagraph"/>
        <w:jc w:val="both"/>
        <w:rPr>
          <w:rFonts w:ascii="Times New Roman" w:hAnsi="Times New Roman" w:cs="Times New Roman"/>
          <w:b/>
          <w:sz w:val="24"/>
          <w:szCs w:val="24"/>
        </w:rPr>
      </w:pPr>
      <w:r>
        <w:rPr>
          <w:rFonts w:ascii="Times New Roman" w:hAnsi="Times New Roman" w:cs="Times New Roman"/>
          <w:sz w:val="24"/>
          <w:szCs w:val="24"/>
        </w:rPr>
        <w:lastRenderedPageBreak/>
        <w:t>AIA Financial telah giat membangun agen-agen baru atau yang disebut dengan penasehat dan yang professional. Hal ini telah dilakukan dari sebelum tahun 2013 sehingga pada 2013 agen-agen yang ada merupakan agen-agen yang professional dan banyak agen-agen baru.</w:t>
      </w:r>
    </w:p>
    <w:p w:rsidR="00CA574A" w:rsidRPr="00CA574A" w:rsidRDefault="00CA574A" w:rsidP="00CA574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Transformasi 2014-2016</w:t>
      </w:r>
    </w:p>
    <w:p w:rsidR="00CA574A" w:rsidRPr="00CA574A" w:rsidRDefault="00CA574A" w:rsidP="00CA574A">
      <w:pPr>
        <w:pStyle w:val="ListParagraph"/>
        <w:jc w:val="both"/>
        <w:rPr>
          <w:rFonts w:ascii="Times New Roman" w:hAnsi="Times New Roman" w:cs="Times New Roman"/>
          <w:b/>
          <w:sz w:val="24"/>
          <w:szCs w:val="24"/>
        </w:rPr>
      </w:pPr>
      <w:r>
        <w:rPr>
          <w:rFonts w:ascii="Times New Roman" w:hAnsi="Times New Roman" w:cs="Times New Roman"/>
          <w:sz w:val="24"/>
          <w:szCs w:val="24"/>
        </w:rPr>
        <w:t>Di tahun 2014 hingga tahun 2016 AIA Financial memasuki masa transformasi menuju AIA Financial yang lebih baik</w:t>
      </w:r>
    </w:p>
    <w:p w:rsidR="00CA574A" w:rsidRPr="00CA574A" w:rsidRDefault="00CA574A" w:rsidP="00CA574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Menjadi perusahaan yang telah bertransformasi di 2018</w:t>
      </w:r>
    </w:p>
    <w:p w:rsidR="00CA574A" w:rsidRPr="00CA574A" w:rsidRDefault="00CA574A" w:rsidP="00CA574A">
      <w:pPr>
        <w:pStyle w:val="ListParagraph"/>
        <w:jc w:val="both"/>
        <w:rPr>
          <w:rFonts w:ascii="Times New Roman" w:hAnsi="Times New Roman" w:cs="Times New Roman"/>
          <w:b/>
          <w:sz w:val="24"/>
          <w:szCs w:val="24"/>
        </w:rPr>
      </w:pPr>
      <w:r>
        <w:rPr>
          <w:rFonts w:ascii="Times New Roman" w:hAnsi="Times New Roman" w:cs="Times New Roman"/>
          <w:sz w:val="24"/>
          <w:szCs w:val="24"/>
        </w:rPr>
        <w:t>Pada tahun 2018 diharapkan AIA Financial telah menjadi perusahaan yang benar-benar telah bertransformasi menjadi AIA Financial yang baru dan tentunya lebih baik dari sebelumnya, baik dari produk, sumberdaya manusia, dan sistemnya.</w:t>
      </w:r>
    </w:p>
    <w:p w:rsidR="001E362C" w:rsidRDefault="001E362C" w:rsidP="00B60DF9">
      <w:pPr>
        <w:jc w:val="both"/>
        <w:rPr>
          <w:rFonts w:ascii="Times New Roman" w:hAnsi="Times New Roman" w:cs="Times New Roman"/>
          <w:b/>
          <w:sz w:val="24"/>
          <w:szCs w:val="24"/>
        </w:rPr>
      </w:pPr>
      <w:r>
        <w:rPr>
          <w:rFonts w:ascii="Times New Roman" w:hAnsi="Times New Roman" w:cs="Times New Roman"/>
          <w:b/>
          <w:sz w:val="24"/>
          <w:szCs w:val="24"/>
        </w:rPr>
        <w:t>Strategi Pengembangan Organisasi</w:t>
      </w:r>
    </w:p>
    <w:p w:rsidR="00291B81" w:rsidRDefault="00CA574A" w:rsidP="00531CEB">
      <w:pPr>
        <w:pStyle w:val="ListParagraph"/>
        <w:numPr>
          <w:ilvl w:val="0"/>
          <w:numId w:val="1"/>
        </w:numPr>
        <w:jc w:val="both"/>
        <w:rPr>
          <w:rFonts w:ascii="Times New Roman" w:hAnsi="Times New Roman" w:cs="Times New Roman"/>
          <w:sz w:val="24"/>
          <w:szCs w:val="24"/>
        </w:rPr>
      </w:pPr>
      <w:r w:rsidRPr="00531CEB">
        <w:rPr>
          <w:rFonts w:ascii="Times New Roman" w:hAnsi="Times New Roman" w:cs="Times New Roman"/>
          <w:sz w:val="24"/>
          <w:szCs w:val="24"/>
        </w:rPr>
        <w:t>Meningkatkan total premi</w:t>
      </w:r>
    </w:p>
    <w:p w:rsidR="00531CEB" w:rsidRPr="00531CEB" w:rsidRDefault="00531CEB" w:rsidP="00531CE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AIA Financial berusaha meningkatkan total premi tahunan yang di dapat dengan mengadakan penawaran-penawaran menarik seperti bonus voucher atau souvenir bagi konsumen dan bonus reward bagi agennya. </w:t>
      </w:r>
      <w:r w:rsidR="00A84D99">
        <w:rPr>
          <w:rFonts w:ascii="Times New Roman" w:hAnsi="Times New Roman" w:cs="Times New Roman"/>
          <w:sz w:val="24"/>
          <w:szCs w:val="24"/>
        </w:rPr>
        <w:t>Hal ini ditujukan agar setiap Agency berlomba-lomba untuk mencari nasabah baru dan meningkatkan produktivitasnya.</w:t>
      </w:r>
    </w:p>
    <w:p w:rsidR="00291B81" w:rsidRDefault="00CA574A" w:rsidP="00531CEB">
      <w:pPr>
        <w:pStyle w:val="ListParagraph"/>
        <w:numPr>
          <w:ilvl w:val="0"/>
          <w:numId w:val="1"/>
        </w:numPr>
        <w:jc w:val="both"/>
        <w:rPr>
          <w:rFonts w:ascii="Times New Roman" w:hAnsi="Times New Roman" w:cs="Times New Roman"/>
          <w:sz w:val="24"/>
          <w:szCs w:val="24"/>
        </w:rPr>
      </w:pPr>
      <w:r w:rsidRPr="00531CEB">
        <w:rPr>
          <w:rFonts w:ascii="Times New Roman" w:hAnsi="Times New Roman" w:cs="Times New Roman"/>
          <w:sz w:val="24"/>
          <w:szCs w:val="24"/>
        </w:rPr>
        <w:t xml:space="preserve">Memberi reward </w:t>
      </w:r>
    </w:p>
    <w:p w:rsidR="00531CEB" w:rsidRPr="00531CEB" w:rsidRDefault="00531CEB" w:rsidP="00531CE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Pada pencapaian tertentu, seorang agen akan mendapatkan reward-reward tertentu dari AIA Financial </w:t>
      </w:r>
      <w:r w:rsidR="00A84D99">
        <w:rPr>
          <w:rFonts w:ascii="Times New Roman" w:hAnsi="Times New Roman" w:cs="Times New Roman"/>
          <w:sz w:val="24"/>
          <w:szCs w:val="24"/>
        </w:rPr>
        <w:t xml:space="preserve">seperti reward jalan-jalan ke Bali untuk agen yang telah mendapatkan total ANP 12 juta rupiah. </w:t>
      </w:r>
    </w:p>
    <w:p w:rsidR="00A84D99" w:rsidRDefault="00CA574A" w:rsidP="00531CEB">
      <w:pPr>
        <w:pStyle w:val="ListParagraph"/>
        <w:numPr>
          <w:ilvl w:val="0"/>
          <w:numId w:val="1"/>
        </w:numPr>
        <w:jc w:val="both"/>
        <w:rPr>
          <w:rFonts w:ascii="Times New Roman" w:hAnsi="Times New Roman" w:cs="Times New Roman"/>
          <w:sz w:val="24"/>
          <w:szCs w:val="24"/>
        </w:rPr>
      </w:pPr>
      <w:r w:rsidRPr="00531CEB">
        <w:rPr>
          <w:rFonts w:ascii="Times New Roman" w:hAnsi="Times New Roman" w:cs="Times New Roman"/>
          <w:sz w:val="24"/>
          <w:szCs w:val="24"/>
        </w:rPr>
        <w:t>Mencari agen-agen baru</w:t>
      </w:r>
    </w:p>
    <w:p w:rsidR="00291B81" w:rsidRPr="00531CEB" w:rsidRDefault="00A84D99" w:rsidP="00A84D99">
      <w:pPr>
        <w:pStyle w:val="ListParagraph"/>
        <w:jc w:val="both"/>
        <w:rPr>
          <w:rFonts w:ascii="Times New Roman" w:hAnsi="Times New Roman" w:cs="Times New Roman"/>
          <w:sz w:val="24"/>
          <w:szCs w:val="24"/>
        </w:rPr>
      </w:pPr>
      <w:r>
        <w:rPr>
          <w:rFonts w:ascii="Times New Roman" w:hAnsi="Times New Roman" w:cs="Times New Roman"/>
          <w:sz w:val="24"/>
          <w:szCs w:val="24"/>
        </w:rPr>
        <w:t>AIA Financial berusaha terus mencari agen-agen baru untuk lebih meningkatkan pemasarannya dan total preminya. Dalam satu tahun diadakan beberapa kali acara seperti seminar bisnis untuk mendapatkan agen-agen baru, pencarian agen baru ini difokuskan pada agen-agen yang masih berusia muda.</w:t>
      </w:r>
      <w:r w:rsidR="00CA574A" w:rsidRPr="00531CEB">
        <w:rPr>
          <w:rFonts w:ascii="Times New Roman" w:hAnsi="Times New Roman" w:cs="Times New Roman"/>
          <w:sz w:val="24"/>
          <w:szCs w:val="24"/>
        </w:rPr>
        <w:t xml:space="preserve"> </w:t>
      </w:r>
    </w:p>
    <w:p w:rsidR="00291B81" w:rsidRDefault="00CA574A" w:rsidP="00531CEB">
      <w:pPr>
        <w:pStyle w:val="ListParagraph"/>
        <w:numPr>
          <w:ilvl w:val="0"/>
          <w:numId w:val="1"/>
        </w:numPr>
        <w:jc w:val="both"/>
        <w:rPr>
          <w:rFonts w:ascii="Times New Roman" w:hAnsi="Times New Roman" w:cs="Times New Roman"/>
          <w:sz w:val="24"/>
          <w:szCs w:val="24"/>
        </w:rPr>
      </w:pPr>
      <w:r w:rsidRPr="00531CEB">
        <w:rPr>
          <w:rFonts w:ascii="Times New Roman" w:hAnsi="Times New Roman" w:cs="Times New Roman"/>
          <w:sz w:val="24"/>
          <w:szCs w:val="24"/>
        </w:rPr>
        <w:t>Melakukan inovasi</w:t>
      </w:r>
    </w:p>
    <w:p w:rsidR="00A84D99" w:rsidRPr="00531CEB" w:rsidRDefault="00A84D99" w:rsidP="00A84D99">
      <w:pPr>
        <w:pStyle w:val="ListParagraph"/>
        <w:jc w:val="both"/>
        <w:rPr>
          <w:rFonts w:ascii="Times New Roman" w:hAnsi="Times New Roman" w:cs="Times New Roman"/>
          <w:sz w:val="24"/>
          <w:szCs w:val="24"/>
        </w:rPr>
      </w:pPr>
      <w:r>
        <w:rPr>
          <w:rFonts w:ascii="Times New Roman" w:hAnsi="Times New Roman" w:cs="Times New Roman"/>
          <w:sz w:val="24"/>
          <w:szCs w:val="24"/>
        </w:rPr>
        <w:t>Inovasi yang dilakukan seperti membuat aplikasi iPos pada iOS. Dengan adanya apliaksi ini membuat para agen dapat melakukan closing pada nasabahnya dimanapun dia berada dan kapanpun. Karena aplikasi ini telah terhubung langsung dengan server kantor pusat AIA sehingga dapat langsung diproses dan nasabah akan mendapatkan polisnya lebih cepat.</w:t>
      </w:r>
    </w:p>
    <w:p w:rsidR="007948D4" w:rsidRDefault="00CA574A" w:rsidP="00B60DF9">
      <w:pPr>
        <w:pStyle w:val="ListParagraph"/>
        <w:numPr>
          <w:ilvl w:val="0"/>
          <w:numId w:val="1"/>
        </w:numPr>
        <w:jc w:val="both"/>
        <w:rPr>
          <w:rFonts w:ascii="Times New Roman" w:hAnsi="Times New Roman" w:cs="Times New Roman"/>
          <w:sz w:val="24"/>
          <w:szCs w:val="24"/>
        </w:rPr>
      </w:pPr>
      <w:r w:rsidRPr="00531CEB">
        <w:rPr>
          <w:rFonts w:ascii="Times New Roman" w:hAnsi="Times New Roman" w:cs="Times New Roman"/>
          <w:sz w:val="24"/>
          <w:szCs w:val="24"/>
        </w:rPr>
        <w:t>Memberikan pelayanan terbaik</w:t>
      </w:r>
    </w:p>
    <w:p w:rsidR="00A84D99" w:rsidRPr="00531CEB" w:rsidRDefault="003A69E4" w:rsidP="00A84D99">
      <w:pPr>
        <w:pStyle w:val="ListParagraph"/>
        <w:jc w:val="both"/>
        <w:rPr>
          <w:rFonts w:ascii="Times New Roman" w:hAnsi="Times New Roman" w:cs="Times New Roman"/>
          <w:sz w:val="24"/>
          <w:szCs w:val="24"/>
        </w:rPr>
      </w:pPr>
      <w:r>
        <w:rPr>
          <w:rFonts w:ascii="Times New Roman" w:hAnsi="Times New Roman" w:cs="Times New Roman"/>
          <w:sz w:val="24"/>
          <w:szCs w:val="24"/>
        </w:rPr>
        <w:t>AIA Financial berusaha memberikan pelayanan terbaik bagi nasabahnya dan juga bagi agen-agennya. Untuk nasabah, AIA Financial berusaha memberikan informasi-informasi terbaru tentang AIA melalui sms kepada nomor nasabah. Dan untuk agennya AIA menyediakan layanan berbasis website yang dapat memfasilitasi agen mencari informasi-informasi yang dibutuhkan terkait produk-produk AIA yang akan dipasarkan dan komisi yang didapatkan.</w:t>
      </w:r>
    </w:p>
    <w:p w:rsidR="001E362C" w:rsidRDefault="001E362C" w:rsidP="00B60DF9">
      <w:pPr>
        <w:jc w:val="both"/>
        <w:rPr>
          <w:rFonts w:ascii="Times New Roman" w:hAnsi="Times New Roman" w:cs="Times New Roman"/>
          <w:b/>
          <w:sz w:val="24"/>
          <w:szCs w:val="24"/>
        </w:rPr>
      </w:pPr>
      <w:r>
        <w:rPr>
          <w:rFonts w:ascii="Times New Roman" w:hAnsi="Times New Roman" w:cs="Times New Roman"/>
          <w:b/>
          <w:sz w:val="24"/>
          <w:szCs w:val="24"/>
        </w:rPr>
        <w:t>Strategi Pengembangan SDM</w:t>
      </w:r>
    </w:p>
    <w:p w:rsidR="00291B81" w:rsidRDefault="00CA574A" w:rsidP="003A69E4">
      <w:pPr>
        <w:pStyle w:val="ListParagraph"/>
        <w:numPr>
          <w:ilvl w:val="0"/>
          <w:numId w:val="1"/>
        </w:numPr>
        <w:jc w:val="both"/>
        <w:rPr>
          <w:rFonts w:ascii="Times New Roman" w:hAnsi="Times New Roman" w:cs="Times New Roman"/>
          <w:sz w:val="24"/>
          <w:szCs w:val="24"/>
        </w:rPr>
      </w:pPr>
      <w:r w:rsidRPr="003A69E4">
        <w:rPr>
          <w:rFonts w:ascii="Times New Roman" w:hAnsi="Times New Roman" w:cs="Times New Roman"/>
          <w:sz w:val="24"/>
          <w:szCs w:val="24"/>
        </w:rPr>
        <w:t>Training Agen Baru</w:t>
      </w:r>
    </w:p>
    <w:p w:rsidR="003A69E4" w:rsidRPr="003A69E4" w:rsidRDefault="003A69E4" w:rsidP="003A69E4">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Setiap agen yang baru bergabung dengan AIA Financial akan diberi pelatihan terkait cara-cara closing dan bagaimana menjadi seorang agen. Pelatihan ini dinamakan Guaranteed to Success, dengan adanya pelatihan ini diharapkan seorang agen dapat memperoleh penghasilan tertentu dalam waktu tertentu yang telah tertulis di pedoman pelatihan tersebut.</w:t>
      </w:r>
    </w:p>
    <w:p w:rsidR="00291B81" w:rsidRDefault="00CA574A" w:rsidP="003A69E4">
      <w:pPr>
        <w:pStyle w:val="ListParagraph"/>
        <w:numPr>
          <w:ilvl w:val="0"/>
          <w:numId w:val="1"/>
        </w:numPr>
        <w:jc w:val="both"/>
        <w:rPr>
          <w:rFonts w:ascii="Times New Roman" w:hAnsi="Times New Roman" w:cs="Times New Roman"/>
          <w:sz w:val="24"/>
          <w:szCs w:val="24"/>
        </w:rPr>
      </w:pPr>
      <w:r w:rsidRPr="003A69E4">
        <w:rPr>
          <w:rFonts w:ascii="Times New Roman" w:hAnsi="Times New Roman" w:cs="Times New Roman"/>
          <w:sz w:val="24"/>
          <w:szCs w:val="24"/>
        </w:rPr>
        <w:t>Training Produk</w:t>
      </w:r>
    </w:p>
    <w:p w:rsidR="003A69E4" w:rsidRPr="003A69E4" w:rsidRDefault="00B01B27" w:rsidP="003A69E4">
      <w:pPr>
        <w:pStyle w:val="ListParagraph"/>
        <w:jc w:val="both"/>
        <w:rPr>
          <w:rFonts w:ascii="Times New Roman" w:hAnsi="Times New Roman" w:cs="Times New Roman"/>
          <w:sz w:val="24"/>
          <w:szCs w:val="24"/>
        </w:rPr>
      </w:pPr>
      <w:r>
        <w:rPr>
          <w:rFonts w:ascii="Times New Roman" w:hAnsi="Times New Roman" w:cs="Times New Roman"/>
          <w:sz w:val="24"/>
          <w:szCs w:val="24"/>
        </w:rPr>
        <w:t>Pada setiap produk baru akan diadakan training bagi agen-agen yang telah kompeten untuk mengikuti training produk tersebut. Ada persyaratan seperti telah mendapatkan sekian nasabah agar dapat mengikuti training produk baru. Selain produk baru, produk-produk yang sudah ada juga akan lebih dibahas lagi bagaimana cara menjualnya kepada calon nasabah..</w:t>
      </w:r>
    </w:p>
    <w:p w:rsidR="00291B81" w:rsidRDefault="00CA574A" w:rsidP="003A69E4">
      <w:pPr>
        <w:pStyle w:val="ListParagraph"/>
        <w:numPr>
          <w:ilvl w:val="0"/>
          <w:numId w:val="1"/>
        </w:numPr>
        <w:jc w:val="both"/>
        <w:rPr>
          <w:rFonts w:ascii="Times New Roman" w:hAnsi="Times New Roman" w:cs="Times New Roman"/>
          <w:sz w:val="24"/>
          <w:szCs w:val="24"/>
        </w:rPr>
      </w:pPr>
      <w:r w:rsidRPr="003A69E4">
        <w:rPr>
          <w:rFonts w:ascii="Times New Roman" w:hAnsi="Times New Roman" w:cs="Times New Roman"/>
          <w:sz w:val="24"/>
          <w:szCs w:val="24"/>
        </w:rPr>
        <w:t>Training Motivasi</w:t>
      </w:r>
    </w:p>
    <w:p w:rsidR="00B01B27" w:rsidRPr="003A69E4" w:rsidRDefault="00B01B27" w:rsidP="00B01B27">
      <w:pPr>
        <w:pStyle w:val="ListParagraph"/>
        <w:jc w:val="both"/>
        <w:rPr>
          <w:rFonts w:ascii="Times New Roman" w:hAnsi="Times New Roman" w:cs="Times New Roman"/>
          <w:sz w:val="24"/>
          <w:szCs w:val="24"/>
        </w:rPr>
      </w:pPr>
      <w:r>
        <w:rPr>
          <w:rFonts w:ascii="Times New Roman" w:hAnsi="Times New Roman" w:cs="Times New Roman"/>
          <w:sz w:val="24"/>
          <w:szCs w:val="24"/>
        </w:rPr>
        <w:t>Dalam setahun dua kali AIA Financial memiliki agenda training motivasi dengan mendatangkan motivator-motivator baik dari dalam negeri maupun luar negeri. Dengan adanya training motivasi ini diharapkan agen-agen dapat lebih meningkat produktivitasnya dan meningkat lagi kualitas dirinya.</w:t>
      </w:r>
    </w:p>
    <w:p w:rsidR="00291B81" w:rsidRDefault="00CA574A" w:rsidP="003A69E4">
      <w:pPr>
        <w:pStyle w:val="ListParagraph"/>
        <w:numPr>
          <w:ilvl w:val="0"/>
          <w:numId w:val="1"/>
        </w:numPr>
        <w:jc w:val="both"/>
        <w:rPr>
          <w:rFonts w:ascii="Times New Roman" w:hAnsi="Times New Roman" w:cs="Times New Roman"/>
          <w:sz w:val="24"/>
          <w:szCs w:val="24"/>
        </w:rPr>
      </w:pPr>
      <w:r w:rsidRPr="003A69E4">
        <w:rPr>
          <w:rFonts w:ascii="Times New Roman" w:hAnsi="Times New Roman" w:cs="Times New Roman"/>
          <w:sz w:val="24"/>
          <w:szCs w:val="24"/>
        </w:rPr>
        <w:t>Training Agen Lama</w:t>
      </w:r>
    </w:p>
    <w:p w:rsidR="00B01B27" w:rsidRPr="003A69E4" w:rsidRDefault="00B01B27" w:rsidP="00B01B27">
      <w:pPr>
        <w:pStyle w:val="ListParagraph"/>
        <w:jc w:val="both"/>
        <w:rPr>
          <w:rFonts w:ascii="Times New Roman" w:hAnsi="Times New Roman" w:cs="Times New Roman"/>
          <w:sz w:val="24"/>
          <w:szCs w:val="24"/>
        </w:rPr>
      </w:pPr>
      <w:r>
        <w:rPr>
          <w:rFonts w:ascii="Times New Roman" w:hAnsi="Times New Roman" w:cs="Times New Roman"/>
          <w:sz w:val="24"/>
          <w:szCs w:val="24"/>
        </w:rPr>
        <w:t>Agen-agen yang telah bergabung akan ditraining tentang bagaimana meningkatkan produktivitasnya dan bagaimana caranya agar dapat naik level atau jabatannya. Sehingga agen-agen tetap terjaga performanya.</w:t>
      </w:r>
    </w:p>
    <w:p w:rsidR="001E362C" w:rsidRPr="001E362C" w:rsidRDefault="001E362C" w:rsidP="00B60DF9">
      <w:pPr>
        <w:jc w:val="both"/>
        <w:rPr>
          <w:rFonts w:ascii="Times New Roman" w:hAnsi="Times New Roman" w:cs="Times New Roman"/>
          <w:b/>
          <w:sz w:val="24"/>
          <w:szCs w:val="24"/>
        </w:rPr>
      </w:pPr>
      <w:r>
        <w:rPr>
          <w:rFonts w:ascii="Times New Roman" w:hAnsi="Times New Roman" w:cs="Times New Roman"/>
          <w:b/>
          <w:sz w:val="24"/>
          <w:szCs w:val="24"/>
        </w:rPr>
        <w:t>Evaluasi Strategi</w:t>
      </w:r>
    </w:p>
    <w:p w:rsidR="00291B81" w:rsidRDefault="00CA574A" w:rsidP="00B01B27">
      <w:pPr>
        <w:pStyle w:val="ListParagraph"/>
        <w:numPr>
          <w:ilvl w:val="0"/>
          <w:numId w:val="1"/>
        </w:numPr>
        <w:jc w:val="both"/>
        <w:rPr>
          <w:rFonts w:ascii="Times New Roman" w:hAnsi="Times New Roman" w:cs="Times New Roman"/>
          <w:sz w:val="24"/>
          <w:szCs w:val="24"/>
        </w:rPr>
      </w:pPr>
      <w:r w:rsidRPr="00B01B27">
        <w:rPr>
          <w:rFonts w:ascii="Times New Roman" w:hAnsi="Times New Roman" w:cs="Times New Roman"/>
          <w:sz w:val="24"/>
          <w:szCs w:val="24"/>
        </w:rPr>
        <w:t>Menggunakan strategi analyzer</w:t>
      </w:r>
    </w:p>
    <w:p w:rsidR="00B01B27" w:rsidRPr="00B01B27" w:rsidRDefault="00B01B27" w:rsidP="00B01B27">
      <w:pPr>
        <w:pStyle w:val="ListParagraph"/>
        <w:jc w:val="both"/>
        <w:rPr>
          <w:rFonts w:ascii="Times New Roman" w:hAnsi="Times New Roman" w:cs="Times New Roman"/>
          <w:sz w:val="24"/>
          <w:szCs w:val="24"/>
        </w:rPr>
      </w:pPr>
      <w:r>
        <w:rPr>
          <w:rFonts w:ascii="Times New Roman" w:hAnsi="Times New Roman" w:cs="Times New Roman"/>
          <w:sz w:val="24"/>
          <w:szCs w:val="24"/>
        </w:rPr>
        <w:t>AIA Financial menurut saya menggunakan strategi analyzer. Hal ini dibuktikan dengan adanya inovasi seperti iPos namun disisi lain AIA Financial tetap menjaga pangsa pasarnya dalam bidang asuransi jiwa dan kesehatan</w:t>
      </w:r>
      <w:r w:rsidR="00CA16E3">
        <w:rPr>
          <w:rFonts w:ascii="Times New Roman" w:hAnsi="Times New Roman" w:cs="Times New Roman"/>
          <w:sz w:val="24"/>
          <w:szCs w:val="24"/>
        </w:rPr>
        <w:t>.</w:t>
      </w:r>
    </w:p>
    <w:p w:rsidR="00291B81" w:rsidRDefault="00CA574A" w:rsidP="00B01B27">
      <w:pPr>
        <w:pStyle w:val="ListParagraph"/>
        <w:numPr>
          <w:ilvl w:val="0"/>
          <w:numId w:val="1"/>
        </w:numPr>
        <w:jc w:val="both"/>
        <w:rPr>
          <w:rFonts w:ascii="Times New Roman" w:hAnsi="Times New Roman" w:cs="Times New Roman"/>
          <w:sz w:val="24"/>
          <w:szCs w:val="24"/>
        </w:rPr>
      </w:pPr>
      <w:r w:rsidRPr="00B01B27">
        <w:rPr>
          <w:rFonts w:ascii="Times New Roman" w:hAnsi="Times New Roman" w:cs="Times New Roman"/>
          <w:sz w:val="24"/>
          <w:szCs w:val="24"/>
        </w:rPr>
        <w:t>Turnover cukup tinggi</w:t>
      </w:r>
    </w:p>
    <w:p w:rsidR="00CA16E3" w:rsidRPr="00B01B27" w:rsidRDefault="00CA16E3" w:rsidP="00CA16E3">
      <w:pPr>
        <w:pStyle w:val="ListParagraph"/>
        <w:jc w:val="both"/>
        <w:rPr>
          <w:rFonts w:ascii="Times New Roman" w:hAnsi="Times New Roman" w:cs="Times New Roman"/>
          <w:sz w:val="24"/>
          <w:szCs w:val="24"/>
        </w:rPr>
      </w:pPr>
      <w:r>
        <w:rPr>
          <w:rFonts w:ascii="Times New Roman" w:hAnsi="Times New Roman" w:cs="Times New Roman"/>
          <w:sz w:val="24"/>
          <w:szCs w:val="24"/>
        </w:rPr>
        <w:t>Tunrover di AIA Financial ini dirasa cukup tinggi karena dari beberapa agen baru yang masuk ke AIA, hanya ada beberapa agen saja yang dapat bertahan dalam waktu satu sampai dua tahun. Hal ini disebabkan karena belum adanya loyalitas dari para agen, para agen lebih didasarkan dengan mendapatkan bonus-bonusnya sebagai seorang agen.</w:t>
      </w:r>
    </w:p>
    <w:p w:rsidR="00291B81" w:rsidRDefault="00CA574A" w:rsidP="00B01B27">
      <w:pPr>
        <w:pStyle w:val="ListParagraph"/>
        <w:numPr>
          <w:ilvl w:val="0"/>
          <w:numId w:val="1"/>
        </w:numPr>
        <w:jc w:val="both"/>
        <w:rPr>
          <w:rFonts w:ascii="Times New Roman" w:hAnsi="Times New Roman" w:cs="Times New Roman"/>
          <w:sz w:val="24"/>
          <w:szCs w:val="24"/>
        </w:rPr>
      </w:pPr>
      <w:r w:rsidRPr="00B01B27">
        <w:rPr>
          <w:rFonts w:ascii="Times New Roman" w:hAnsi="Times New Roman" w:cs="Times New Roman"/>
          <w:sz w:val="24"/>
          <w:szCs w:val="24"/>
        </w:rPr>
        <w:t>Perlu lebih membranding</w:t>
      </w:r>
    </w:p>
    <w:p w:rsidR="00CA16E3" w:rsidRPr="00B01B27" w:rsidRDefault="00CA16E3" w:rsidP="00CA16E3">
      <w:pPr>
        <w:pStyle w:val="ListParagraph"/>
        <w:jc w:val="both"/>
        <w:rPr>
          <w:rFonts w:ascii="Times New Roman" w:hAnsi="Times New Roman" w:cs="Times New Roman"/>
          <w:sz w:val="24"/>
          <w:szCs w:val="24"/>
        </w:rPr>
      </w:pPr>
      <w:r>
        <w:rPr>
          <w:rFonts w:ascii="Times New Roman" w:hAnsi="Times New Roman" w:cs="Times New Roman"/>
          <w:sz w:val="24"/>
          <w:szCs w:val="24"/>
        </w:rPr>
        <w:t>Branding asuransi di Indonesia yang belum kuat, maka ini seharusnya perusahaan asuransi seperti AIA Financial lebih melakukan branding lagi agar masyarakat lebih menyadari akan pentingnya asuransi dan memudahkan para agennya untuk berjualan.</w:t>
      </w:r>
    </w:p>
    <w:p w:rsidR="00B60DF9" w:rsidRPr="00B60DF9" w:rsidRDefault="00B60DF9" w:rsidP="00B60DF9">
      <w:pPr>
        <w:jc w:val="both"/>
        <w:rPr>
          <w:rFonts w:ascii="Times New Roman" w:hAnsi="Times New Roman" w:cs="Times New Roman"/>
          <w:sz w:val="24"/>
          <w:szCs w:val="24"/>
        </w:rPr>
      </w:pPr>
    </w:p>
    <w:sectPr w:rsidR="00B60DF9" w:rsidRPr="00B60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776F"/>
    <w:multiLevelType w:val="hybridMultilevel"/>
    <w:tmpl w:val="F9F2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A319F"/>
    <w:multiLevelType w:val="hybridMultilevel"/>
    <w:tmpl w:val="A4D40154"/>
    <w:lvl w:ilvl="0" w:tplc="67BAEB4E">
      <w:start w:val="1"/>
      <w:numFmt w:val="bullet"/>
      <w:lvlText w:val=" "/>
      <w:lvlJc w:val="left"/>
      <w:pPr>
        <w:tabs>
          <w:tab w:val="num" w:pos="720"/>
        </w:tabs>
        <w:ind w:left="720" w:hanging="360"/>
      </w:pPr>
      <w:rPr>
        <w:rFonts w:ascii="Calibri" w:hAnsi="Calibri" w:hint="default"/>
      </w:rPr>
    </w:lvl>
    <w:lvl w:ilvl="1" w:tplc="C6089C6C" w:tentative="1">
      <w:start w:val="1"/>
      <w:numFmt w:val="bullet"/>
      <w:lvlText w:val=" "/>
      <w:lvlJc w:val="left"/>
      <w:pPr>
        <w:tabs>
          <w:tab w:val="num" w:pos="1440"/>
        </w:tabs>
        <w:ind w:left="1440" w:hanging="360"/>
      </w:pPr>
      <w:rPr>
        <w:rFonts w:ascii="Calibri" w:hAnsi="Calibri" w:hint="default"/>
      </w:rPr>
    </w:lvl>
    <w:lvl w:ilvl="2" w:tplc="795C5896" w:tentative="1">
      <w:start w:val="1"/>
      <w:numFmt w:val="bullet"/>
      <w:lvlText w:val=" "/>
      <w:lvlJc w:val="left"/>
      <w:pPr>
        <w:tabs>
          <w:tab w:val="num" w:pos="2160"/>
        </w:tabs>
        <w:ind w:left="2160" w:hanging="360"/>
      </w:pPr>
      <w:rPr>
        <w:rFonts w:ascii="Calibri" w:hAnsi="Calibri" w:hint="default"/>
      </w:rPr>
    </w:lvl>
    <w:lvl w:ilvl="3" w:tplc="EA80F326" w:tentative="1">
      <w:start w:val="1"/>
      <w:numFmt w:val="bullet"/>
      <w:lvlText w:val=" "/>
      <w:lvlJc w:val="left"/>
      <w:pPr>
        <w:tabs>
          <w:tab w:val="num" w:pos="2880"/>
        </w:tabs>
        <w:ind w:left="2880" w:hanging="360"/>
      </w:pPr>
      <w:rPr>
        <w:rFonts w:ascii="Calibri" w:hAnsi="Calibri" w:hint="default"/>
      </w:rPr>
    </w:lvl>
    <w:lvl w:ilvl="4" w:tplc="BB44932A" w:tentative="1">
      <w:start w:val="1"/>
      <w:numFmt w:val="bullet"/>
      <w:lvlText w:val=" "/>
      <w:lvlJc w:val="left"/>
      <w:pPr>
        <w:tabs>
          <w:tab w:val="num" w:pos="3600"/>
        </w:tabs>
        <w:ind w:left="3600" w:hanging="360"/>
      </w:pPr>
      <w:rPr>
        <w:rFonts w:ascii="Calibri" w:hAnsi="Calibri" w:hint="default"/>
      </w:rPr>
    </w:lvl>
    <w:lvl w:ilvl="5" w:tplc="5B80C490" w:tentative="1">
      <w:start w:val="1"/>
      <w:numFmt w:val="bullet"/>
      <w:lvlText w:val=" "/>
      <w:lvlJc w:val="left"/>
      <w:pPr>
        <w:tabs>
          <w:tab w:val="num" w:pos="4320"/>
        </w:tabs>
        <w:ind w:left="4320" w:hanging="360"/>
      </w:pPr>
      <w:rPr>
        <w:rFonts w:ascii="Calibri" w:hAnsi="Calibri" w:hint="default"/>
      </w:rPr>
    </w:lvl>
    <w:lvl w:ilvl="6" w:tplc="80A49216" w:tentative="1">
      <w:start w:val="1"/>
      <w:numFmt w:val="bullet"/>
      <w:lvlText w:val=" "/>
      <w:lvlJc w:val="left"/>
      <w:pPr>
        <w:tabs>
          <w:tab w:val="num" w:pos="5040"/>
        </w:tabs>
        <w:ind w:left="5040" w:hanging="360"/>
      </w:pPr>
      <w:rPr>
        <w:rFonts w:ascii="Calibri" w:hAnsi="Calibri" w:hint="default"/>
      </w:rPr>
    </w:lvl>
    <w:lvl w:ilvl="7" w:tplc="C518C400" w:tentative="1">
      <w:start w:val="1"/>
      <w:numFmt w:val="bullet"/>
      <w:lvlText w:val=" "/>
      <w:lvlJc w:val="left"/>
      <w:pPr>
        <w:tabs>
          <w:tab w:val="num" w:pos="5760"/>
        </w:tabs>
        <w:ind w:left="5760" w:hanging="360"/>
      </w:pPr>
      <w:rPr>
        <w:rFonts w:ascii="Calibri" w:hAnsi="Calibri" w:hint="default"/>
      </w:rPr>
    </w:lvl>
    <w:lvl w:ilvl="8" w:tplc="E68E885E"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27B73F9E"/>
    <w:multiLevelType w:val="hybridMultilevel"/>
    <w:tmpl w:val="7F36C6C2"/>
    <w:lvl w:ilvl="0" w:tplc="B66AB166">
      <w:start w:val="1"/>
      <w:numFmt w:val="bullet"/>
      <w:lvlText w:val=" "/>
      <w:lvlJc w:val="left"/>
      <w:pPr>
        <w:tabs>
          <w:tab w:val="num" w:pos="720"/>
        </w:tabs>
        <w:ind w:left="720" w:hanging="360"/>
      </w:pPr>
      <w:rPr>
        <w:rFonts w:ascii="Calibri" w:hAnsi="Calibri" w:hint="default"/>
      </w:rPr>
    </w:lvl>
    <w:lvl w:ilvl="1" w:tplc="2D243E08" w:tentative="1">
      <w:start w:val="1"/>
      <w:numFmt w:val="bullet"/>
      <w:lvlText w:val=" "/>
      <w:lvlJc w:val="left"/>
      <w:pPr>
        <w:tabs>
          <w:tab w:val="num" w:pos="1440"/>
        </w:tabs>
        <w:ind w:left="1440" w:hanging="360"/>
      </w:pPr>
      <w:rPr>
        <w:rFonts w:ascii="Calibri" w:hAnsi="Calibri" w:hint="default"/>
      </w:rPr>
    </w:lvl>
    <w:lvl w:ilvl="2" w:tplc="41246C74" w:tentative="1">
      <w:start w:val="1"/>
      <w:numFmt w:val="bullet"/>
      <w:lvlText w:val=" "/>
      <w:lvlJc w:val="left"/>
      <w:pPr>
        <w:tabs>
          <w:tab w:val="num" w:pos="2160"/>
        </w:tabs>
        <w:ind w:left="2160" w:hanging="360"/>
      </w:pPr>
      <w:rPr>
        <w:rFonts w:ascii="Calibri" w:hAnsi="Calibri" w:hint="default"/>
      </w:rPr>
    </w:lvl>
    <w:lvl w:ilvl="3" w:tplc="416A0408" w:tentative="1">
      <w:start w:val="1"/>
      <w:numFmt w:val="bullet"/>
      <w:lvlText w:val=" "/>
      <w:lvlJc w:val="left"/>
      <w:pPr>
        <w:tabs>
          <w:tab w:val="num" w:pos="2880"/>
        </w:tabs>
        <w:ind w:left="2880" w:hanging="360"/>
      </w:pPr>
      <w:rPr>
        <w:rFonts w:ascii="Calibri" w:hAnsi="Calibri" w:hint="default"/>
      </w:rPr>
    </w:lvl>
    <w:lvl w:ilvl="4" w:tplc="23363DB0" w:tentative="1">
      <w:start w:val="1"/>
      <w:numFmt w:val="bullet"/>
      <w:lvlText w:val=" "/>
      <w:lvlJc w:val="left"/>
      <w:pPr>
        <w:tabs>
          <w:tab w:val="num" w:pos="3600"/>
        </w:tabs>
        <w:ind w:left="3600" w:hanging="360"/>
      </w:pPr>
      <w:rPr>
        <w:rFonts w:ascii="Calibri" w:hAnsi="Calibri" w:hint="default"/>
      </w:rPr>
    </w:lvl>
    <w:lvl w:ilvl="5" w:tplc="DEACF1D8" w:tentative="1">
      <w:start w:val="1"/>
      <w:numFmt w:val="bullet"/>
      <w:lvlText w:val=" "/>
      <w:lvlJc w:val="left"/>
      <w:pPr>
        <w:tabs>
          <w:tab w:val="num" w:pos="4320"/>
        </w:tabs>
        <w:ind w:left="4320" w:hanging="360"/>
      </w:pPr>
      <w:rPr>
        <w:rFonts w:ascii="Calibri" w:hAnsi="Calibri" w:hint="default"/>
      </w:rPr>
    </w:lvl>
    <w:lvl w:ilvl="6" w:tplc="968CDF96" w:tentative="1">
      <w:start w:val="1"/>
      <w:numFmt w:val="bullet"/>
      <w:lvlText w:val=" "/>
      <w:lvlJc w:val="left"/>
      <w:pPr>
        <w:tabs>
          <w:tab w:val="num" w:pos="5040"/>
        </w:tabs>
        <w:ind w:left="5040" w:hanging="360"/>
      </w:pPr>
      <w:rPr>
        <w:rFonts w:ascii="Calibri" w:hAnsi="Calibri" w:hint="default"/>
      </w:rPr>
    </w:lvl>
    <w:lvl w:ilvl="7" w:tplc="0EFE7FD0" w:tentative="1">
      <w:start w:val="1"/>
      <w:numFmt w:val="bullet"/>
      <w:lvlText w:val=" "/>
      <w:lvlJc w:val="left"/>
      <w:pPr>
        <w:tabs>
          <w:tab w:val="num" w:pos="5760"/>
        </w:tabs>
        <w:ind w:left="5760" w:hanging="360"/>
      </w:pPr>
      <w:rPr>
        <w:rFonts w:ascii="Calibri" w:hAnsi="Calibri" w:hint="default"/>
      </w:rPr>
    </w:lvl>
    <w:lvl w:ilvl="8" w:tplc="ACB42608"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36325109"/>
    <w:multiLevelType w:val="hybridMultilevel"/>
    <w:tmpl w:val="0164ABFA"/>
    <w:lvl w:ilvl="0" w:tplc="376A6C6E">
      <w:start w:val="1"/>
      <w:numFmt w:val="bullet"/>
      <w:lvlText w:val=" "/>
      <w:lvlJc w:val="left"/>
      <w:pPr>
        <w:tabs>
          <w:tab w:val="num" w:pos="720"/>
        </w:tabs>
        <w:ind w:left="720" w:hanging="360"/>
      </w:pPr>
      <w:rPr>
        <w:rFonts w:ascii="Calibri" w:hAnsi="Calibri" w:hint="default"/>
      </w:rPr>
    </w:lvl>
    <w:lvl w:ilvl="1" w:tplc="3FC49004" w:tentative="1">
      <w:start w:val="1"/>
      <w:numFmt w:val="bullet"/>
      <w:lvlText w:val=" "/>
      <w:lvlJc w:val="left"/>
      <w:pPr>
        <w:tabs>
          <w:tab w:val="num" w:pos="1440"/>
        </w:tabs>
        <w:ind w:left="1440" w:hanging="360"/>
      </w:pPr>
      <w:rPr>
        <w:rFonts w:ascii="Calibri" w:hAnsi="Calibri" w:hint="default"/>
      </w:rPr>
    </w:lvl>
    <w:lvl w:ilvl="2" w:tplc="758051AA" w:tentative="1">
      <w:start w:val="1"/>
      <w:numFmt w:val="bullet"/>
      <w:lvlText w:val=" "/>
      <w:lvlJc w:val="left"/>
      <w:pPr>
        <w:tabs>
          <w:tab w:val="num" w:pos="2160"/>
        </w:tabs>
        <w:ind w:left="2160" w:hanging="360"/>
      </w:pPr>
      <w:rPr>
        <w:rFonts w:ascii="Calibri" w:hAnsi="Calibri" w:hint="default"/>
      </w:rPr>
    </w:lvl>
    <w:lvl w:ilvl="3" w:tplc="56F6AE90" w:tentative="1">
      <w:start w:val="1"/>
      <w:numFmt w:val="bullet"/>
      <w:lvlText w:val=" "/>
      <w:lvlJc w:val="left"/>
      <w:pPr>
        <w:tabs>
          <w:tab w:val="num" w:pos="2880"/>
        </w:tabs>
        <w:ind w:left="2880" w:hanging="360"/>
      </w:pPr>
      <w:rPr>
        <w:rFonts w:ascii="Calibri" w:hAnsi="Calibri" w:hint="default"/>
      </w:rPr>
    </w:lvl>
    <w:lvl w:ilvl="4" w:tplc="637C12A0" w:tentative="1">
      <w:start w:val="1"/>
      <w:numFmt w:val="bullet"/>
      <w:lvlText w:val=" "/>
      <w:lvlJc w:val="left"/>
      <w:pPr>
        <w:tabs>
          <w:tab w:val="num" w:pos="3600"/>
        </w:tabs>
        <w:ind w:left="3600" w:hanging="360"/>
      </w:pPr>
      <w:rPr>
        <w:rFonts w:ascii="Calibri" w:hAnsi="Calibri" w:hint="default"/>
      </w:rPr>
    </w:lvl>
    <w:lvl w:ilvl="5" w:tplc="CA048A26" w:tentative="1">
      <w:start w:val="1"/>
      <w:numFmt w:val="bullet"/>
      <w:lvlText w:val=" "/>
      <w:lvlJc w:val="left"/>
      <w:pPr>
        <w:tabs>
          <w:tab w:val="num" w:pos="4320"/>
        </w:tabs>
        <w:ind w:left="4320" w:hanging="360"/>
      </w:pPr>
      <w:rPr>
        <w:rFonts w:ascii="Calibri" w:hAnsi="Calibri" w:hint="default"/>
      </w:rPr>
    </w:lvl>
    <w:lvl w:ilvl="6" w:tplc="4DAC164E" w:tentative="1">
      <w:start w:val="1"/>
      <w:numFmt w:val="bullet"/>
      <w:lvlText w:val=" "/>
      <w:lvlJc w:val="left"/>
      <w:pPr>
        <w:tabs>
          <w:tab w:val="num" w:pos="5040"/>
        </w:tabs>
        <w:ind w:left="5040" w:hanging="360"/>
      </w:pPr>
      <w:rPr>
        <w:rFonts w:ascii="Calibri" w:hAnsi="Calibri" w:hint="default"/>
      </w:rPr>
    </w:lvl>
    <w:lvl w:ilvl="7" w:tplc="25243770" w:tentative="1">
      <w:start w:val="1"/>
      <w:numFmt w:val="bullet"/>
      <w:lvlText w:val=" "/>
      <w:lvlJc w:val="left"/>
      <w:pPr>
        <w:tabs>
          <w:tab w:val="num" w:pos="5760"/>
        </w:tabs>
        <w:ind w:left="5760" w:hanging="360"/>
      </w:pPr>
      <w:rPr>
        <w:rFonts w:ascii="Calibri" w:hAnsi="Calibri" w:hint="default"/>
      </w:rPr>
    </w:lvl>
    <w:lvl w:ilvl="8" w:tplc="4266B418"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44AC43E9"/>
    <w:multiLevelType w:val="hybridMultilevel"/>
    <w:tmpl w:val="02ACD8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C5040D"/>
    <w:multiLevelType w:val="hybridMultilevel"/>
    <w:tmpl w:val="1E7014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3A6678"/>
    <w:multiLevelType w:val="hybridMultilevel"/>
    <w:tmpl w:val="8CECB3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172C93"/>
    <w:multiLevelType w:val="hybridMultilevel"/>
    <w:tmpl w:val="A1CCA9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78"/>
    <w:rsid w:val="001E362C"/>
    <w:rsid w:val="002164FD"/>
    <w:rsid w:val="00291B81"/>
    <w:rsid w:val="003A69E4"/>
    <w:rsid w:val="0046458D"/>
    <w:rsid w:val="00481932"/>
    <w:rsid w:val="00531CEB"/>
    <w:rsid w:val="00703778"/>
    <w:rsid w:val="007948D4"/>
    <w:rsid w:val="007E6F48"/>
    <w:rsid w:val="00964CAC"/>
    <w:rsid w:val="00987D38"/>
    <w:rsid w:val="00A34203"/>
    <w:rsid w:val="00A84D99"/>
    <w:rsid w:val="00B01B27"/>
    <w:rsid w:val="00B60DF9"/>
    <w:rsid w:val="00C463E1"/>
    <w:rsid w:val="00C87274"/>
    <w:rsid w:val="00CA16E3"/>
    <w:rsid w:val="00CA574A"/>
    <w:rsid w:val="00CF02CC"/>
    <w:rsid w:val="00F1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F99E"/>
  <w15:chartTrackingRefBased/>
  <w15:docId w15:val="{3C8732CA-8D64-4E6B-A6C8-419B9FA1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21759">
      <w:bodyDiv w:val="1"/>
      <w:marLeft w:val="0"/>
      <w:marRight w:val="0"/>
      <w:marTop w:val="0"/>
      <w:marBottom w:val="0"/>
      <w:divBdr>
        <w:top w:val="none" w:sz="0" w:space="0" w:color="auto"/>
        <w:left w:val="none" w:sz="0" w:space="0" w:color="auto"/>
        <w:bottom w:val="none" w:sz="0" w:space="0" w:color="auto"/>
        <w:right w:val="none" w:sz="0" w:space="0" w:color="auto"/>
      </w:divBdr>
    </w:div>
    <w:div w:id="811606308">
      <w:bodyDiv w:val="1"/>
      <w:marLeft w:val="0"/>
      <w:marRight w:val="0"/>
      <w:marTop w:val="0"/>
      <w:marBottom w:val="0"/>
      <w:divBdr>
        <w:top w:val="none" w:sz="0" w:space="0" w:color="auto"/>
        <w:left w:val="none" w:sz="0" w:space="0" w:color="auto"/>
        <w:bottom w:val="none" w:sz="0" w:space="0" w:color="auto"/>
        <w:right w:val="none" w:sz="0" w:space="0" w:color="auto"/>
      </w:divBdr>
      <w:divsChild>
        <w:div w:id="1005284801">
          <w:marLeft w:val="144"/>
          <w:marRight w:val="0"/>
          <w:marTop w:val="240"/>
          <w:marBottom w:val="40"/>
          <w:divBdr>
            <w:top w:val="none" w:sz="0" w:space="0" w:color="auto"/>
            <w:left w:val="none" w:sz="0" w:space="0" w:color="auto"/>
            <w:bottom w:val="none" w:sz="0" w:space="0" w:color="auto"/>
            <w:right w:val="none" w:sz="0" w:space="0" w:color="auto"/>
          </w:divBdr>
        </w:div>
        <w:div w:id="1884976993">
          <w:marLeft w:val="144"/>
          <w:marRight w:val="0"/>
          <w:marTop w:val="240"/>
          <w:marBottom w:val="40"/>
          <w:divBdr>
            <w:top w:val="none" w:sz="0" w:space="0" w:color="auto"/>
            <w:left w:val="none" w:sz="0" w:space="0" w:color="auto"/>
            <w:bottom w:val="none" w:sz="0" w:space="0" w:color="auto"/>
            <w:right w:val="none" w:sz="0" w:space="0" w:color="auto"/>
          </w:divBdr>
        </w:div>
        <w:div w:id="13305834">
          <w:marLeft w:val="144"/>
          <w:marRight w:val="0"/>
          <w:marTop w:val="240"/>
          <w:marBottom w:val="40"/>
          <w:divBdr>
            <w:top w:val="none" w:sz="0" w:space="0" w:color="auto"/>
            <w:left w:val="none" w:sz="0" w:space="0" w:color="auto"/>
            <w:bottom w:val="none" w:sz="0" w:space="0" w:color="auto"/>
            <w:right w:val="none" w:sz="0" w:space="0" w:color="auto"/>
          </w:divBdr>
        </w:div>
        <w:div w:id="1613392992">
          <w:marLeft w:val="144"/>
          <w:marRight w:val="0"/>
          <w:marTop w:val="240"/>
          <w:marBottom w:val="40"/>
          <w:divBdr>
            <w:top w:val="none" w:sz="0" w:space="0" w:color="auto"/>
            <w:left w:val="none" w:sz="0" w:space="0" w:color="auto"/>
            <w:bottom w:val="none" w:sz="0" w:space="0" w:color="auto"/>
            <w:right w:val="none" w:sz="0" w:space="0" w:color="auto"/>
          </w:divBdr>
        </w:div>
        <w:div w:id="1325011233">
          <w:marLeft w:val="144"/>
          <w:marRight w:val="0"/>
          <w:marTop w:val="240"/>
          <w:marBottom w:val="40"/>
          <w:divBdr>
            <w:top w:val="none" w:sz="0" w:space="0" w:color="auto"/>
            <w:left w:val="none" w:sz="0" w:space="0" w:color="auto"/>
            <w:bottom w:val="none" w:sz="0" w:space="0" w:color="auto"/>
            <w:right w:val="none" w:sz="0" w:space="0" w:color="auto"/>
          </w:divBdr>
        </w:div>
      </w:divsChild>
    </w:div>
    <w:div w:id="1148672295">
      <w:bodyDiv w:val="1"/>
      <w:marLeft w:val="0"/>
      <w:marRight w:val="0"/>
      <w:marTop w:val="0"/>
      <w:marBottom w:val="0"/>
      <w:divBdr>
        <w:top w:val="none" w:sz="0" w:space="0" w:color="auto"/>
        <w:left w:val="none" w:sz="0" w:space="0" w:color="auto"/>
        <w:bottom w:val="none" w:sz="0" w:space="0" w:color="auto"/>
        <w:right w:val="none" w:sz="0" w:space="0" w:color="auto"/>
      </w:divBdr>
      <w:divsChild>
        <w:div w:id="743063522">
          <w:marLeft w:val="144"/>
          <w:marRight w:val="0"/>
          <w:marTop w:val="240"/>
          <w:marBottom w:val="40"/>
          <w:divBdr>
            <w:top w:val="none" w:sz="0" w:space="0" w:color="auto"/>
            <w:left w:val="none" w:sz="0" w:space="0" w:color="auto"/>
            <w:bottom w:val="none" w:sz="0" w:space="0" w:color="auto"/>
            <w:right w:val="none" w:sz="0" w:space="0" w:color="auto"/>
          </w:divBdr>
        </w:div>
        <w:div w:id="1264847799">
          <w:marLeft w:val="144"/>
          <w:marRight w:val="0"/>
          <w:marTop w:val="240"/>
          <w:marBottom w:val="40"/>
          <w:divBdr>
            <w:top w:val="none" w:sz="0" w:space="0" w:color="auto"/>
            <w:left w:val="none" w:sz="0" w:space="0" w:color="auto"/>
            <w:bottom w:val="none" w:sz="0" w:space="0" w:color="auto"/>
            <w:right w:val="none" w:sz="0" w:space="0" w:color="auto"/>
          </w:divBdr>
        </w:div>
        <w:div w:id="1051227627">
          <w:marLeft w:val="144"/>
          <w:marRight w:val="0"/>
          <w:marTop w:val="240"/>
          <w:marBottom w:val="40"/>
          <w:divBdr>
            <w:top w:val="none" w:sz="0" w:space="0" w:color="auto"/>
            <w:left w:val="none" w:sz="0" w:space="0" w:color="auto"/>
            <w:bottom w:val="none" w:sz="0" w:space="0" w:color="auto"/>
            <w:right w:val="none" w:sz="0" w:space="0" w:color="auto"/>
          </w:divBdr>
        </w:div>
        <w:div w:id="1340932515">
          <w:marLeft w:val="144"/>
          <w:marRight w:val="0"/>
          <w:marTop w:val="240"/>
          <w:marBottom w:val="40"/>
          <w:divBdr>
            <w:top w:val="none" w:sz="0" w:space="0" w:color="auto"/>
            <w:left w:val="none" w:sz="0" w:space="0" w:color="auto"/>
            <w:bottom w:val="none" w:sz="0" w:space="0" w:color="auto"/>
            <w:right w:val="none" w:sz="0" w:space="0" w:color="auto"/>
          </w:divBdr>
        </w:div>
      </w:divsChild>
    </w:div>
    <w:div w:id="1332029530">
      <w:bodyDiv w:val="1"/>
      <w:marLeft w:val="0"/>
      <w:marRight w:val="0"/>
      <w:marTop w:val="0"/>
      <w:marBottom w:val="0"/>
      <w:divBdr>
        <w:top w:val="none" w:sz="0" w:space="0" w:color="auto"/>
        <w:left w:val="none" w:sz="0" w:space="0" w:color="auto"/>
        <w:bottom w:val="none" w:sz="0" w:space="0" w:color="auto"/>
        <w:right w:val="none" w:sz="0" w:space="0" w:color="auto"/>
      </w:divBdr>
    </w:div>
    <w:div w:id="1778718859">
      <w:bodyDiv w:val="1"/>
      <w:marLeft w:val="0"/>
      <w:marRight w:val="0"/>
      <w:marTop w:val="0"/>
      <w:marBottom w:val="0"/>
      <w:divBdr>
        <w:top w:val="none" w:sz="0" w:space="0" w:color="auto"/>
        <w:left w:val="none" w:sz="0" w:space="0" w:color="auto"/>
        <w:bottom w:val="none" w:sz="0" w:space="0" w:color="auto"/>
        <w:right w:val="none" w:sz="0" w:space="0" w:color="auto"/>
      </w:divBdr>
    </w:div>
    <w:div w:id="2007173999">
      <w:bodyDiv w:val="1"/>
      <w:marLeft w:val="0"/>
      <w:marRight w:val="0"/>
      <w:marTop w:val="0"/>
      <w:marBottom w:val="0"/>
      <w:divBdr>
        <w:top w:val="none" w:sz="0" w:space="0" w:color="auto"/>
        <w:left w:val="none" w:sz="0" w:space="0" w:color="auto"/>
        <w:bottom w:val="none" w:sz="0" w:space="0" w:color="auto"/>
        <w:right w:val="none" w:sz="0" w:space="0" w:color="auto"/>
      </w:divBdr>
    </w:div>
    <w:div w:id="2112123995">
      <w:bodyDiv w:val="1"/>
      <w:marLeft w:val="0"/>
      <w:marRight w:val="0"/>
      <w:marTop w:val="0"/>
      <w:marBottom w:val="0"/>
      <w:divBdr>
        <w:top w:val="none" w:sz="0" w:space="0" w:color="auto"/>
        <w:left w:val="none" w:sz="0" w:space="0" w:color="auto"/>
        <w:bottom w:val="none" w:sz="0" w:space="0" w:color="auto"/>
        <w:right w:val="none" w:sz="0" w:space="0" w:color="auto"/>
      </w:divBdr>
      <w:divsChild>
        <w:div w:id="398096250">
          <w:marLeft w:val="144"/>
          <w:marRight w:val="0"/>
          <w:marTop w:val="240"/>
          <w:marBottom w:val="40"/>
          <w:divBdr>
            <w:top w:val="none" w:sz="0" w:space="0" w:color="auto"/>
            <w:left w:val="none" w:sz="0" w:space="0" w:color="auto"/>
            <w:bottom w:val="none" w:sz="0" w:space="0" w:color="auto"/>
            <w:right w:val="none" w:sz="0" w:space="0" w:color="auto"/>
          </w:divBdr>
        </w:div>
        <w:div w:id="559176717">
          <w:marLeft w:val="144"/>
          <w:marRight w:val="0"/>
          <w:marTop w:val="240"/>
          <w:marBottom w:val="40"/>
          <w:divBdr>
            <w:top w:val="none" w:sz="0" w:space="0" w:color="auto"/>
            <w:left w:val="none" w:sz="0" w:space="0" w:color="auto"/>
            <w:bottom w:val="none" w:sz="0" w:space="0" w:color="auto"/>
            <w:right w:val="none" w:sz="0" w:space="0" w:color="auto"/>
          </w:divBdr>
        </w:div>
        <w:div w:id="110303717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12</cp:revision>
  <dcterms:created xsi:type="dcterms:W3CDTF">2016-12-12T13:11:00Z</dcterms:created>
  <dcterms:modified xsi:type="dcterms:W3CDTF">2016-12-22T05:44:00Z</dcterms:modified>
</cp:coreProperties>
</file>