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Shinta</w:t>
      </w:r>
      <w:proofErr w:type="spell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Kusumawati</w:t>
      </w:r>
      <w:proofErr w:type="spell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P.</w:t>
      </w:r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15808147037</w:t>
      </w:r>
    </w:p>
    <w:p w:rsidR="00584AD1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2096328</wp:posOffset>
            </wp:positionH>
            <wp:positionV relativeFrom="paragraph">
              <wp:posOffset>70568</wp:posOffset>
            </wp:positionV>
            <wp:extent cx="1889264" cy="2017643"/>
            <wp:effectExtent l="1905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 l="21955" t="35185" r="22741" b="3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64" cy="201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proofErr w:type="spellStart"/>
      <w:r w:rsidR="00584AD1"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Manajemen</w:t>
      </w:r>
      <w:proofErr w:type="spellEnd"/>
      <w:r w:rsidR="00584AD1"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PKS</w:t>
      </w: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PT PLN (</w:t>
      </w:r>
      <w:proofErr w:type="spellStart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Persero</w:t>
      </w:r>
      <w:proofErr w:type="spell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Jalan</w:t>
      </w:r>
      <w:proofErr w:type="spell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Pemuda</w:t>
      </w:r>
      <w:proofErr w:type="spell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Banjarnegara</w:t>
      </w:r>
      <w:proofErr w:type="spell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53415</w:t>
      </w: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Telp</w:t>
      </w:r>
      <w:proofErr w:type="spell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(0286) 591021</w:t>
      </w:r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Narasumber</w:t>
      </w:r>
      <w:proofErr w:type="spell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Galih</w:t>
      </w:r>
      <w:proofErr w:type="spell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Satria</w:t>
      </w:r>
      <w:proofErr w:type="spellEnd"/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(JO OPDIST)</w:t>
      </w:r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  <w:r w:rsidRPr="002020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584AD1" w:rsidRPr="0020207C" w:rsidRDefault="00584AD1" w:rsidP="005D0979">
      <w:pPr>
        <w:pStyle w:val="ListParagraph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Sejarah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Perusahaan </w:t>
      </w:r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Berawal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abad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ditingkatkan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asal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Belanda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bergerak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pabrik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gula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pabrik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mendirikan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keperluan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9A1DAC" w:rsidRPr="0020207C" w:rsidRDefault="009A1DAC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1942-1945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peralihan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Belanda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Belanda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menyerah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pasukan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II.</w:t>
      </w:r>
      <w:proofErr w:type="gramEnd"/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peralihan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kekuasaan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kembali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II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Agustus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1945,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Jepang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menyerah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Sekutu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dimanfaatkan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pemuda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buruh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delegasi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Buruh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Gas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bersama-sama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Pimpinan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KNI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berinisiatif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menghadap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Soekarno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menyerahkan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perusahaan-perusahaan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Indonesia.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Oktober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1945,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Soekarno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Gas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Departemen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Pekerjaan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kapasitas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pembangkit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157,5 MW.</w:t>
      </w:r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</w:t>
      </w:r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1961,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Gas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diubah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BPU-PLN (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Pimpinan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Negara)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bergerak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gas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kokas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dibubarkan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1965.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 (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Negara (PLN)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negara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 Gas Negara (PGN)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gas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diresmikan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1972,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No.17, status Perusahaan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Negara (PLN)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ditetapkan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Negara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Pemegang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Kuasa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Usaha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(PKUK)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menyediakan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584AD1" w:rsidRPr="0020207C" w:rsidRDefault="00584AD1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Seiring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kebijakan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sektor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swasta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bergerak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bisnis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penyediaan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1994 status PLN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beralih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 Perseroan (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Persero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PKUK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menyediakan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B0543" w:rsidRPr="0020207C" w:rsidRDefault="00DB0543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3046" w:rsidRPr="0020207C" w:rsidRDefault="00793046" w:rsidP="005D0979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Visi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&amp;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Misi</w:t>
      </w:r>
      <w:proofErr w:type="spellEnd"/>
    </w:p>
    <w:p w:rsidR="00793046" w:rsidRPr="0020207C" w:rsidRDefault="00793046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Visi</w:t>
      </w:r>
      <w:proofErr w:type="spellEnd"/>
    </w:p>
    <w:p w:rsidR="00793046" w:rsidRPr="0020207C" w:rsidRDefault="00793046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Diakui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Dunia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Bertumbuh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kembang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Unggul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Terpercaya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bertumpu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Potensi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Insani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793046" w:rsidRPr="0020207C" w:rsidRDefault="00793046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93046" w:rsidRPr="0020207C" w:rsidRDefault="00793046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Misi</w:t>
      </w:r>
      <w:proofErr w:type="spellEnd"/>
    </w:p>
    <w:p w:rsidR="00793046" w:rsidRPr="0020207C" w:rsidRDefault="00793046" w:rsidP="005D0979">
      <w:pPr>
        <w:numPr>
          <w:ilvl w:val="0"/>
          <w:numId w:val="1"/>
        </w:numPr>
        <w:spacing w:after="0" w:line="360" w:lineRule="auto"/>
        <w:ind w:left="2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Menjalankan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bisnis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kelistrikan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berorientasi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kepuasan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pelanggan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anggota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pemegang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93046" w:rsidRPr="0020207C" w:rsidRDefault="00793046" w:rsidP="005D0979">
      <w:pPr>
        <w:numPr>
          <w:ilvl w:val="0"/>
          <w:numId w:val="1"/>
        </w:numPr>
        <w:spacing w:after="0" w:line="360" w:lineRule="auto"/>
        <w:ind w:left="2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93046" w:rsidRPr="0020207C" w:rsidRDefault="00793046" w:rsidP="005D0979">
      <w:pPr>
        <w:numPr>
          <w:ilvl w:val="0"/>
          <w:numId w:val="1"/>
        </w:numPr>
        <w:spacing w:after="0" w:line="360" w:lineRule="auto"/>
        <w:ind w:left="2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Mengupayakan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pendorong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93046" w:rsidRPr="0020207C" w:rsidRDefault="00793046" w:rsidP="005D0979">
      <w:pPr>
        <w:numPr>
          <w:ilvl w:val="0"/>
          <w:numId w:val="1"/>
        </w:numPr>
        <w:spacing w:after="0" w:line="360" w:lineRule="auto"/>
        <w:ind w:left="27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Menjalankan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berwawasan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93046" w:rsidRPr="0020207C" w:rsidRDefault="00793046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93046" w:rsidRPr="0020207C" w:rsidRDefault="00793046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Moto</w:t>
      </w:r>
    </w:p>
    <w:p w:rsidR="00793046" w:rsidRPr="0020207C" w:rsidRDefault="00793046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</w:p>
    <w:p w:rsidR="00793046" w:rsidRPr="0020207C" w:rsidRDefault="00793046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93046" w:rsidRPr="0020207C" w:rsidRDefault="00793046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Maksud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Tujuan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Perseroan</w:t>
      </w: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menyelenggarakan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penyediaan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kepentingan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memadai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memupuk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keuntungan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penugasan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rangka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menunjang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prinsip-prinsip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Perseroan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Terbatas</w:t>
      </w:r>
      <w:proofErr w:type="spellEnd"/>
      <w:r w:rsidR="009A1DAC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E7140" w:rsidRPr="0020207C" w:rsidRDefault="00FE7140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93046" w:rsidRPr="0020207C" w:rsidRDefault="00FE7140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kantor</w:t>
      </w:r>
      <w:proofErr w:type="spellEnd"/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cabang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motto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="0020207C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07C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20207C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07C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kantor</w:t>
      </w:r>
      <w:proofErr w:type="spellEnd"/>
      <w:r w:rsidR="0020207C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0207C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FE7140" w:rsidRPr="0020207C" w:rsidRDefault="00FE7140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3046" w:rsidRPr="0020207C" w:rsidRDefault="00FE7140" w:rsidP="005D0979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Struktur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Organisasi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20207C"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PT PLN </w:t>
      </w:r>
      <w:proofErr w:type="spellStart"/>
      <w:r w:rsidR="0020207C"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Banjarnegara</w:t>
      </w:r>
      <w:proofErr w:type="spellEnd"/>
    </w:p>
    <w:p w:rsidR="0020207C" w:rsidRPr="0020207C" w:rsidRDefault="009D103C" w:rsidP="0020207C">
      <w:pPr>
        <w:pStyle w:val="ListParagraph"/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rect id="_x0000_s1026" style="position:absolute;left:0;text-align:left;margin-left:163.55pt;margin-top:10.9pt;width:129.15pt;height:38.35pt;z-index:251659264">
            <v:textbox>
              <w:txbxContent>
                <w:p w:rsidR="00FE7C3E" w:rsidRDefault="0020207C" w:rsidP="00FE7C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MANAJER </w:t>
                  </w:r>
                </w:p>
                <w:p w:rsidR="0020207C" w:rsidRPr="0020207C" w:rsidRDefault="0020207C" w:rsidP="00FE7C3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20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RAYON</w:t>
                  </w:r>
                </w:p>
              </w:txbxContent>
            </v:textbox>
          </v:rect>
        </w:pict>
      </w:r>
    </w:p>
    <w:p w:rsidR="00FE7140" w:rsidRPr="0020207C" w:rsidRDefault="00FE7140" w:rsidP="005D0979">
      <w:pPr>
        <w:pStyle w:val="ListParagraph"/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FE7140" w:rsidRPr="0020207C" w:rsidRDefault="006F3779" w:rsidP="005D0979">
      <w:pPr>
        <w:pStyle w:val="ListParagraph"/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57.9pt;margin-top:18pt;width:0;height:10.3pt;z-index:251668480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shape id="_x0000_s1037" type="#_x0000_t32" style="position:absolute;left:0;text-align:left;margin-left:385.05pt;margin-top:18pt;width:0;height:10.3pt;z-index:251669504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shape id="_x0000_s1035" type="#_x0000_t32" style="position:absolute;left:0;text-align:left;margin-left:230.1pt;margin-top:7.85pt;width:0;height:22.65pt;z-index:251667456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shape id="_x0000_s1034" type="#_x0000_t32" style="position:absolute;left:0;text-align:left;margin-left:57.9pt;margin-top:18pt;width:327.15pt;height:0;z-index:251666432" o:connectortype="straight"/>
        </w:pict>
      </w:r>
    </w:p>
    <w:p w:rsidR="00FE7140" w:rsidRPr="0020207C" w:rsidRDefault="00A2786D" w:rsidP="005D0979">
      <w:pPr>
        <w:pStyle w:val="ListParagraph"/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rect id="_x0000_s1030" style="position:absolute;left:0;text-align:left;margin-left:163.55pt;margin-top:9.8pt;width:129.15pt;height:38.35pt;z-index:251662336">
            <v:textbox>
              <w:txbxContent>
                <w:p w:rsidR="00A2786D" w:rsidRDefault="00A2786D" w:rsidP="00A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SUPERVISOR </w:t>
                  </w:r>
                </w:p>
                <w:p w:rsidR="00A2786D" w:rsidRPr="0020207C" w:rsidRDefault="00A2786D" w:rsidP="00A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PP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rect id="_x0000_s1031" style="position:absolute;left:0;text-align:left;margin-left:-1.1pt;margin-top:7.6pt;width:129.15pt;height:38.35pt;z-index:251663360">
            <v:textbox>
              <w:txbxContent>
                <w:p w:rsidR="00A2786D" w:rsidRPr="0020207C" w:rsidRDefault="00A2786D" w:rsidP="00A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SUPERVISOR TEKNIK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rect id="_x0000_s1029" style="position:absolute;left:0;text-align:left;margin-left:317.75pt;margin-top:7.6pt;width:129.15pt;height:38.35pt;z-index:251661312">
            <v:textbox>
              <w:txbxContent>
                <w:p w:rsidR="00A2786D" w:rsidRDefault="00A2786D" w:rsidP="00A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SUPERVISOR </w:t>
                  </w:r>
                </w:p>
                <w:p w:rsidR="00A2786D" w:rsidRPr="0020207C" w:rsidRDefault="00A2786D" w:rsidP="00A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 </w:t>
                  </w:r>
                </w:p>
              </w:txbxContent>
            </v:textbox>
          </v:rect>
        </w:pict>
      </w:r>
    </w:p>
    <w:p w:rsidR="00FE7140" w:rsidRPr="0020207C" w:rsidRDefault="00FE7140" w:rsidP="005D0979">
      <w:pPr>
        <w:pStyle w:val="ListParagraph"/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FE7140" w:rsidRPr="0020207C" w:rsidRDefault="006F3779" w:rsidP="005D0979">
      <w:pPr>
        <w:pStyle w:val="ListParagraph"/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shape id="_x0000_s1038" type="#_x0000_t32" style="position:absolute;left:0;text-align:left;margin-left:57.9pt;margin-top:4.55pt;width:0;height:22.65pt;z-index:251670528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shape id="_x0000_s1039" type="#_x0000_t32" style="position:absolute;left:0;text-align:left;margin-left:229.4pt;margin-top:6.75pt;width:0;height:22.65pt;z-index:251671552" o:connectortype="straight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shape id="_x0000_s1040" type="#_x0000_t32" style="position:absolute;left:0;text-align:left;margin-left:385.05pt;margin-top:4.4pt;width:0;height:26.65pt;z-index:251672576" o:connectortype="straight"/>
        </w:pict>
      </w:r>
    </w:p>
    <w:p w:rsidR="00FE7140" w:rsidRPr="0020207C" w:rsidRDefault="006F3779" w:rsidP="005D0979">
      <w:pPr>
        <w:pStyle w:val="ListParagraph"/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rect id="_x0000_s1028" style="position:absolute;left:0;text-align:left;margin-left:8.5pt;margin-top:8pt;width:104.2pt;height:38.35pt;z-index:251660288">
            <v:textbox>
              <w:txbxContent>
                <w:p w:rsidR="00A2786D" w:rsidRDefault="00A2786D" w:rsidP="00A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STAFF </w:t>
                  </w:r>
                </w:p>
                <w:p w:rsidR="00A2786D" w:rsidRPr="0020207C" w:rsidRDefault="00A2786D" w:rsidP="00A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TEKNIK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rect id="_x0000_s1032" style="position:absolute;left:0;text-align:left;margin-left:179.05pt;margin-top:9.6pt;width:98.75pt;height:38.35pt;z-index:251664384">
            <v:textbox>
              <w:txbxContent>
                <w:p w:rsidR="00A2786D" w:rsidRDefault="00A2786D" w:rsidP="00A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STAFF </w:t>
                  </w:r>
                </w:p>
                <w:p w:rsidR="00A2786D" w:rsidRPr="0020207C" w:rsidRDefault="00A2786D" w:rsidP="00A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</w:t>
                  </w:r>
                </w:p>
              </w:txbxContent>
            </v:textbox>
          </v:rect>
        </w:pict>
      </w:r>
      <w:r w:rsidR="00A2786D"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4"/>
          <w:szCs w:val="24"/>
        </w:rPr>
        <w:pict>
          <v:rect id="_x0000_s1033" style="position:absolute;left:0;text-align:left;margin-left:338.2pt;margin-top:10.4pt;width:98.75pt;height:38.35pt;z-index:251665408">
            <v:textbox>
              <w:txbxContent>
                <w:p w:rsidR="00A2786D" w:rsidRDefault="00A2786D" w:rsidP="00A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STAFF </w:t>
                  </w:r>
                </w:p>
                <w:p w:rsidR="00A2786D" w:rsidRPr="0020207C" w:rsidRDefault="00A2786D" w:rsidP="00A27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PP </w:t>
                  </w:r>
                </w:p>
              </w:txbxContent>
            </v:textbox>
          </v:rect>
        </w:pict>
      </w:r>
    </w:p>
    <w:p w:rsidR="00FE7140" w:rsidRPr="0020207C" w:rsidRDefault="00FE7140" w:rsidP="005D0979">
      <w:pPr>
        <w:pStyle w:val="ListParagraph"/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FE7140" w:rsidRPr="0020207C" w:rsidRDefault="00FE7140" w:rsidP="005D0979">
      <w:pPr>
        <w:pStyle w:val="ListParagraph"/>
        <w:spacing w:after="0" w:line="36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F342ED" w:rsidRPr="006F3779" w:rsidRDefault="00F342ED" w:rsidP="006F3779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</w:p>
    <w:p w:rsidR="00793046" w:rsidRPr="0020207C" w:rsidRDefault="00FE7140" w:rsidP="005D0979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Bisnis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PLN</w:t>
      </w:r>
    </w:p>
    <w:p w:rsidR="00A265F1" w:rsidRPr="0020207C" w:rsidRDefault="00793046" w:rsidP="005D097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Undang-undang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 no. 30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2009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Anggaran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Dasar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rangkaian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</w:p>
    <w:p w:rsidR="00793046" w:rsidRPr="0020207C" w:rsidRDefault="00793046" w:rsidP="005D09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1. 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Menjalankan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usaha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penyediaan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mencakup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5D0979" w:rsidRPr="0020207C" w:rsidRDefault="00793046" w:rsidP="003E01A7">
      <w:pPr>
        <w:pStyle w:val="ListParagraph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Pembangkitan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</w:p>
    <w:p w:rsidR="005D0979" w:rsidRPr="0020207C" w:rsidRDefault="00793046" w:rsidP="003E01A7">
      <w:pPr>
        <w:pStyle w:val="ListParagraph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Penyaluran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</w:p>
    <w:p w:rsidR="005D0979" w:rsidRPr="0020207C" w:rsidRDefault="00793046" w:rsidP="0020207C">
      <w:pPr>
        <w:pStyle w:val="ListParagraph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Distribusi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</w:p>
    <w:p w:rsidR="005D0979" w:rsidRPr="0020207C" w:rsidRDefault="00793046" w:rsidP="005D0979">
      <w:pPr>
        <w:pStyle w:val="ListParagraph"/>
        <w:numPr>
          <w:ilvl w:val="0"/>
          <w:numId w:val="9"/>
        </w:numPr>
        <w:spacing w:after="0" w:line="360" w:lineRule="auto"/>
        <w:ind w:hanging="4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Perencanaan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sarana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penyediaan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</w:p>
    <w:p w:rsidR="005D0979" w:rsidRPr="0020207C" w:rsidRDefault="00793046" w:rsidP="005D0979">
      <w:pPr>
        <w:pStyle w:val="ListParagraph"/>
        <w:numPr>
          <w:ilvl w:val="0"/>
          <w:numId w:val="9"/>
        </w:numPr>
        <w:spacing w:after="0" w:line="360" w:lineRule="auto"/>
        <w:ind w:hanging="4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penyediaan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</w:p>
    <w:p w:rsidR="00793046" w:rsidRPr="0020207C" w:rsidRDefault="00793046" w:rsidP="005D0979">
      <w:pPr>
        <w:pStyle w:val="ListParagraph"/>
        <w:numPr>
          <w:ilvl w:val="0"/>
          <w:numId w:val="9"/>
        </w:numPr>
        <w:spacing w:after="0" w:line="360" w:lineRule="auto"/>
        <w:ind w:hanging="43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Penjualan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</w:p>
    <w:p w:rsidR="00793046" w:rsidRPr="0020207C" w:rsidRDefault="00793046" w:rsidP="005D09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Menjalankan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usaha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penunjang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yang </w:t>
      </w:r>
      <w:proofErr w:type="spellStart"/>
      <w:proofErr w:type="gram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mencakup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:</w:t>
      </w:r>
      <w:proofErr w:type="gram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5D0979" w:rsidRPr="0020207C" w:rsidRDefault="00793046" w:rsidP="005D0979">
      <w:pPr>
        <w:pStyle w:val="ListParagraph"/>
        <w:numPr>
          <w:ilvl w:val="0"/>
          <w:numId w:val="12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Konsultasi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</w:p>
    <w:p w:rsidR="005D0979" w:rsidRPr="0020207C" w:rsidRDefault="00793046" w:rsidP="005D0979">
      <w:pPr>
        <w:pStyle w:val="ListParagraph"/>
        <w:numPr>
          <w:ilvl w:val="0"/>
          <w:numId w:val="12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Pembangunan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pemasangan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peralatan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</w:p>
    <w:p w:rsidR="005D0979" w:rsidRPr="0020207C" w:rsidRDefault="00793046" w:rsidP="005D0979">
      <w:pPr>
        <w:pStyle w:val="ListParagraph"/>
        <w:numPr>
          <w:ilvl w:val="0"/>
          <w:numId w:val="12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peralatan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</w:p>
    <w:p w:rsidR="005D0979" w:rsidRPr="0020207C" w:rsidRDefault="00793046" w:rsidP="005D0979">
      <w:pPr>
        <w:pStyle w:val="ListParagraph"/>
        <w:numPr>
          <w:ilvl w:val="0"/>
          <w:numId w:val="12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Pengoperasian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pemeliharaan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peralatan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</w:p>
    <w:p w:rsidR="005D0979" w:rsidRPr="0020207C" w:rsidRDefault="00793046" w:rsidP="005D0979">
      <w:pPr>
        <w:pStyle w:val="ListParagraph"/>
        <w:numPr>
          <w:ilvl w:val="0"/>
          <w:numId w:val="12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Laboratorium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peralatan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</w:p>
    <w:p w:rsidR="005D0979" w:rsidRPr="0020207C" w:rsidRDefault="00793046" w:rsidP="005D0979">
      <w:pPr>
        <w:pStyle w:val="ListParagraph"/>
        <w:numPr>
          <w:ilvl w:val="0"/>
          <w:numId w:val="12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Sertifikasi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peralatan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</w:p>
    <w:p w:rsidR="00793046" w:rsidRPr="0020207C" w:rsidRDefault="00793046" w:rsidP="005D0979">
      <w:pPr>
        <w:pStyle w:val="ListParagraph"/>
        <w:numPr>
          <w:ilvl w:val="0"/>
          <w:numId w:val="12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Sertifikasi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kompetensi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</w:p>
    <w:p w:rsidR="00793046" w:rsidRPr="0020207C" w:rsidRDefault="00793046" w:rsidP="00763F5C">
      <w:p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Kegiatan-kegiatan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lainnya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mencakup</w:t>
      </w:r>
      <w:proofErr w:type="spellEnd"/>
      <w:r w:rsidRPr="0020207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:</w:t>
      </w:r>
      <w:proofErr w:type="gramEnd"/>
    </w:p>
    <w:p w:rsidR="00763F5C" w:rsidRPr="0020207C" w:rsidRDefault="00793046" w:rsidP="00763F5C">
      <w:pPr>
        <w:pStyle w:val="ListParagraph"/>
        <w:numPr>
          <w:ilvl w:val="0"/>
          <w:numId w:val="13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pemanfaatan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energi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</w:p>
    <w:p w:rsidR="00763F5C" w:rsidRPr="0020207C" w:rsidRDefault="00793046" w:rsidP="00763F5C">
      <w:pPr>
        <w:pStyle w:val="ListParagraph"/>
        <w:numPr>
          <w:ilvl w:val="0"/>
          <w:numId w:val="13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pengaturan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(dispatcher)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pembangkitan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penyaluran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distribusi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retail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</w:p>
    <w:p w:rsidR="00763F5C" w:rsidRPr="0020207C" w:rsidRDefault="00793046" w:rsidP="00763F5C">
      <w:pPr>
        <w:pStyle w:val="ListParagraph"/>
        <w:numPr>
          <w:ilvl w:val="0"/>
          <w:numId w:val="13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Industri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lunak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</w:p>
    <w:p w:rsidR="00763F5C" w:rsidRPr="0020207C" w:rsidRDefault="00793046" w:rsidP="00763F5C">
      <w:pPr>
        <w:pStyle w:val="ListParagraph"/>
        <w:numPr>
          <w:ilvl w:val="0"/>
          <w:numId w:val="13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pihak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penyelenggara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pembangunan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operasional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telekomunikasi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</w:p>
    <w:p w:rsidR="00793046" w:rsidRPr="0020207C" w:rsidRDefault="00793046" w:rsidP="00763F5C">
      <w:pPr>
        <w:pStyle w:val="ListParagraph"/>
        <w:numPr>
          <w:ilvl w:val="0"/>
          <w:numId w:val="13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Usaha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ketenagalistrikan</w:t>
      </w:r>
      <w:proofErr w:type="spellEnd"/>
    </w:p>
    <w:p w:rsidR="00793046" w:rsidRPr="0020207C" w:rsidRDefault="00793046" w:rsidP="005D09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46665" w:rsidRPr="0020207C" w:rsidRDefault="00946665" w:rsidP="005D0979">
      <w:pPr>
        <w:pStyle w:val="ListParagraph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SWOT </w:t>
      </w:r>
    </w:p>
    <w:p w:rsidR="00946665" w:rsidRPr="0020207C" w:rsidRDefault="00946665" w:rsidP="005D097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STRENGH</w:t>
      </w: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control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pemberdayan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jajaran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manajemen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PLN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bersungguh-sungguh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lompatan-lo</w:t>
      </w:r>
      <w:r w:rsidR="00763F5C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menghindari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kkn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65F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tubuhnya</w:t>
      </w:r>
      <w:proofErr w:type="spellEnd"/>
      <w:r w:rsidR="00A265F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energy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didapatkan</w:t>
      </w:r>
      <w:proofErr w:type="spellEnd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PLN </w:t>
      </w:r>
      <w:proofErr w:type="spellStart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BUMN, </w:t>
      </w:r>
      <w:proofErr w:type="spellStart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semestinya</w:t>
      </w:r>
      <w:proofErr w:type="spellEnd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="007E564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optimal.</w:t>
      </w:r>
    </w:p>
    <w:p w:rsidR="00625A60" w:rsidRPr="0020207C" w:rsidRDefault="002F0EA4" w:rsidP="005D0979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WEAKNESS</w:t>
      </w: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oknum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khillaf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KKN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memperburuk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PLN,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keterbatasan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ketersediaan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wilayah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sepenuhnya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menyedikan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11DAF" w:rsidRPr="0020207C" w:rsidRDefault="00D11DAF" w:rsidP="00396DE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OPPORTUNITY</w:t>
      </w:r>
      <w:r w:rsidR="003E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3E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mber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energy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swasta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teraliri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BB657F" w:rsidRPr="0020207C" w:rsidRDefault="00BB657F" w:rsidP="00396DE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THREAT</w:t>
      </w: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oknum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</w:t>
      </w:r>
      <w:r w:rsidR="003E01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KKN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ancaman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internal PLN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memperburuk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PLN,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eksternnal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competitor.</w:t>
      </w:r>
    </w:p>
    <w:p w:rsidR="00634FEA" w:rsidRPr="0020207C" w:rsidRDefault="00634FEA" w:rsidP="005D097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34FEA" w:rsidRPr="0020207C" w:rsidRDefault="00634FEA" w:rsidP="00634FE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Permasalahan</w:t>
      </w:r>
      <w:proofErr w:type="spellEnd"/>
      <w:r w:rsidRPr="002020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SDM </w:t>
      </w:r>
      <w:r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PT PLN </w:t>
      </w:r>
      <w:proofErr w:type="spellStart"/>
      <w:r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Banjarnegara</w:t>
      </w:r>
      <w:proofErr w:type="spellEnd"/>
    </w:p>
    <w:p w:rsidR="00634FEA" w:rsidRPr="0020207C" w:rsidRDefault="00634FEA" w:rsidP="00634FEA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Galih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sdm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dikantor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beban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dilimpahkan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menikah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Contohnya</w:t>
      </w:r>
      <w:proofErr w:type="spellEnd"/>
      <w:r w:rsidR="00A72474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belum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menikah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sering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menggantikan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jadwal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piket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menikah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alasan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malas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mempelajari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berumur</w:t>
      </w:r>
      <w:proofErr w:type="spellEnd"/>
      <w:r w:rsidR="00CF1B61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C43324" w:rsidRPr="0020207C" w:rsidRDefault="00C43324" w:rsidP="005D097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3324" w:rsidRPr="0020207C" w:rsidRDefault="001B4B8A" w:rsidP="005D097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Strategi</w:t>
      </w:r>
      <w:proofErr w:type="spellEnd"/>
      <w:r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C43324"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engembangan</w:t>
      </w:r>
      <w:proofErr w:type="spellEnd"/>
      <w:r w:rsidR="00C43324"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SDM </w:t>
      </w:r>
      <w:r w:rsidR="006F20F0"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PT PLN </w:t>
      </w:r>
      <w:proofErr w:type="spellStart"/>
      <w:r w:rsidR="006F20F0"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Banjarnegara</w:t>
      </w:r>
      <w:proofErr w:type="spellEnd"/>
      <w:r w:rsidR="006F20F0" w:rsidRPr="00202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E7603" w:rsidRPr="0020207C" w:rsidRDefault="009E7603" w:rsidP="005D0979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Dari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sisi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43324" w:rsidRPr="0020207C" w:rsidRDefault="00C43324" w:rsidP="005D0979">
      <w:pPr>
        <w:pStyle w:val="ListParagraph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Dilakukannya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pelatihan-pelatihan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memperkaya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pekerjaannya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43324" w:rsidRPr="0020207C" w:rsidRDefault="00C43324" w:rsidP="005D0979">
      <w:pPr>
        <w:pStyle w:val="ListParagraph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menilai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tingkat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dilaksankan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diperbaiki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semester,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jadi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kali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20F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7603" w:rsidRPr="0020207C" w:rsidRDefault="009E7603" w:rsidP="005D0979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Dari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sisi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E7603" w:rsidRPr="0020207C" w:rsidRDefault="009E7603" w:rsidP="005D0979">
      <w:pPr>
        <w:pStyle w:val="Heading1"/>
        <w:numPr>
          <w:ilvl w:val="0"/>
          <w:numId w:val="8"/>
        </w:numPr>
        <w:spacing w:before="0" w:beforeAutospacing="0" w:after="0" w:afterAutospacing="0" w:line="360" w:lineRule="auto"/>
        <w:ind w:left="1134" w:hanging="425"/>
        <w:jc w:val="both"/>
        <w:rPr>
          <w:b w:val="0"/>
          <w:i/>
          <w:color w:val="000000" w:themeColor="text1"/>
          <w:sz w:val="24"/>
          <w:szCs w:val="24"/>
          <w:u w:val="single"/>
        </w:rPr>
      </w:pPr>
      <w:proofErr w:type="spellStart"/>
      <w:r w:rsidRPr="0020207C">
        <w:rPr>
          <w:b w:val="0"/>
          <w:color w:val="000000" w:themeColor="text1"/>
          <w:sz w:val="24"/>
          <w:szCs w:val="24"/>
        </w:rPr>
        <w:t>Menerapkan</w:t>
      </w:r>
      <w:proofErr w:type="spellEnd"/>
      <w:r w:rsidRPr="0020207C">
        <w:rPr>
          <w:b w:val="0"/>
          <w:i/>
          <w:color w:val="000000" w:themeColor="text1"/>
          <w:sz w:val="24"/>
          <w:szCs w:val="24"/>
        </w:rPr>
        <w:t xml:space="preserve"> Good Corporate Governance</w:t>
      </w:r>
      <w:r w:rsidR="008776E1" w:rsidRPr="0020207C">
        <w:rPr>
          <w:b w:val="0"/>
          <w:i/>
          <w:color w:val="000000" w:themeColor="text1"/>
          <w:sz w:val="24"/>
          <w:szCs w:val="24"/>
        </w:rPr>
        <w:t xml:space="preserve"> (GCG)</w:t>
      </w:r>
    </w:p>
    <w:p w:rsidR="009E7603" w:rsidRPr="0020207C" w:rsidRDefault="009E7603" w:rsidP="005D0979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BUMN, PT PLN (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Persero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kewajiban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GCG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sebagaimana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diamanatkan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Peraturan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Menteri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Negara BUMN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Per-01/MBU/2011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GCG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BUMN.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menyadari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GCG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pemenuhan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kewajiban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menjalankan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bisnis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rangka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menjaga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pertumbuhan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usaha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berkelanjutan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upaya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agar Perusahaan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bertahan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persaingan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E7603" w:rsidRPr="0020207C" w:rsidRDefault="009E7603" w:rsidP="00F342ED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Kemampuan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menerapkan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prinsip-prinsip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GCG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diwujudkan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diantaranya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dibentuknya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fungsi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GCG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dibawah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Sekretaris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khusus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menangani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memantau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efektivitas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GCG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Perusahaan.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Perusahaan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berkesinambungan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="007A01EB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7A01EB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perbaikan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7A01EB" w:rsidRPr="0020207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soft </w:t>
      </w:r>
      <w:r w:rsidRPr="0020207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structure</w:t>
      </w:r>
      <w:r w:rsidR="007A01EB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7A01EB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="007A01EB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A01EB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7A01EB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20207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infrastructure</w:t>
      </w: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GCG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rangka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penerapan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GCG.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7603" w:rsidRPr="0020207C" w:rsidRDefault="009E7603" w:rsidP="00F342ED">
      <w:pPr>
        <w:spacing w:after="0" w:line="360" w:lineRule="auto"/>
        <w:ind w:left="414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GCG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42ED" w:rsidRPr="0020207C" w:rsidRDefault="009E7603" w:rsidP="00F342ED">
      <w:pPr>
        <w:pStyle w:val="ListParagraph"/>
        <w:numPr>
          <w:ilvl w:val="0"/>
          <w:numId w:val="14"/>
        </w:num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struktur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mengatur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harmonis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Dewan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Komisaris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Dewan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Pemegang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Saham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stakeholder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342ED" w:rsidRPr="0020207C" w:rsidRDefault="009E7603" w:rsidP="00F342ED">
      <w:pPr>
        <w:pStyle w:val="ListParagraph"/>
        <w:numPr>
          <w:ilvl w:val="0"/>
          <w:numId w:val="14"/>
        </w:num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mekanisme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check and balance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mencakup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perimbangan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kewenangan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pengendalian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membatasi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munculnya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pengelolaan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penyalahgunaan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asset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E7603" w:rsidRPr="0020207C" w:rsidRDefault="009E7603" w:rsidP="00F342ED">
      <w:pPr>
        <w:pStyle w:val="ListParagraph"/>
        <w:numPr>
          <w:ilvl w:val="0"/>
          <w:numId w:val="14"/>
        </w:num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proses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transparan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penentuan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pengukuran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kinerjanya</w:t>
      </w:r>
      <w:proofErr w:type="spellEnd"/>
    </w:p>
    <w:p w:rsidR="009E7603" w:rsidRPr="0020207C" w:rsidRDefault="009E7603" w:rsidP="005D0979">
      <w:pPr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GCG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Transparansi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Akuntabilitas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Responsibilitas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Independensi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Keadilan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342ED" w:rsidRPr="0020207C" w:rsidRDefault="00F342ED" w:rsidP="005D0979">
      <w:pPr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5147" w:rsidRDefault="00035147" w:rsidP="00A6135F">
      <w:pPr>
        <w:pStyle w:val="ListParagraph"/>
        <w:numPr>
          <w:ilvl w:val="0"/>
          <w:numId w:val="8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perekrutan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yang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tadinya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pensiun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umur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Sekarang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pensiun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umur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Hal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muda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mempunyai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karyawan-karyawan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berjiwa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muda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E4CA5" w:rsidRPr="0020207C" w:rsidRDefault="002E4CA5" w:rsidP="002E4CA5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angkatan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dinamakan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Human Capital Management Service (HCMS).</w:t>
      </w:r>
      <w:proofErr w:type="gramEnd"/>
    </w:p>
    <w:p w:rsidR="00D66911" w:rsidRPr="0020207C" w:rsidRDefault="00D66911" w:rsidP="006E05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E2023" w:rsidRPr="0020207C" w:rsidRDefault="006E2023" w:rsidP="006E2023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Tambahan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6E2023" w:rsidRPr="0020207C" w:rsidRDefault="006E2023" w:rsidP="006E2023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umur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46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tergolong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produktif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5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bekerja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permasalahan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Mungkin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adanya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pensiun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muda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diumur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46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membawa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dampak</w:t>
      </w:r>
      <w:proofErr w:type="spellEnd"/>
      <w:r w:rsidR="008973EB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biasanya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karyawan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agak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tua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susah</w:t>
      </w:r>
      <w:proofErr w:type="spellEnd"/>
      <w:proofErr w:type="gram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teknolo</w:t>
      </w:r>
      <w:r w:rsidR="008973EB"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202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F409B" w:rsidRPr="0020207C" w:rsidRDefault="007F409B" w:rsidP="006E2023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3046" w:rsidRPr="0020207C" w:rsidRDefault="007F409B" w:rsidP="00E012A5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Tergolong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strategi</w:t>
      </w:r>
      <w:proofErr w:type="spellEnd"/>
      <w:r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analyzer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PT PLN (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Persero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yang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perusahan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jasa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penyedia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warga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inovasi-inovasi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sdm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="00B5292F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sdm</w:t>
      </w:r>
      <w:proofErr w:type="spell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tetap</w:t>
      </w:r>
      <w:proofErr w:type="spell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penyedia</w:t>
      </w:r>
      <w:proofErr w:type="spell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listrik</w:t>
      </w:r>
      <w:proofErr w:type="spellEnd"/>
      <w:proofErr w:type="gram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="000F0660" w:rsidRPr="0020207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93046" w:rsidRPr="0020207C" w:rsidSect="001B0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474E"/>
    <w:multiLevelType w:val="hybridMultilevel"/>
    <w:tmpl w:val="87D0A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AB00CC"/>
    <w:multiLevelType w:val="hybridMultilevel"/>
    <w:tmpl w:val="8FECEF8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7EC50A3"/>
    <w:multiLevelType w:val="multilevel"/>
    <w:tmpl w:val="8EB8AAF4"/>
    <w:lvl w:ilvl="0">
      <w:start w:val="1"/>
      <w:numFmt w:val="bullet"/>
      <w:lvlText w:val=""/>
      <w:lvlJc w:val="left"/>
      <w:pPr>
        <w:tabs>
          <w:tab w:val="num" w:pos="1052"/>
        </w:tabs>
        <w:ind w:left="10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72"/>
        </w:tabs>
        <w:ind w:left="17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2"/>
        </w:tabs>
        <w:ind w:left="24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2"/>
        </w:tabs>
        <w:ind w:left="32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2"/>
        </w:tabs>
        <w:ind w:left="46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2"/>
        </w:tabs>
        <w:ind w:left="53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2"/>
        </w:tabs>
        <w:ind w:left="6812" w:hanging="360"/>
      </w:pPr>
      <w:rPr>
        <w:rFonts w:ascii="Wingdings" w:hAnsi="Wingdings" w:hint="default"/>
        <w:sz w:val="20"/>
      </w:rPr>
    </w:lvl>
  </w:abstractNum>
  <w:abstractNum w:abstractNumId="3">
    <w:nsid w:val="294E5B98"/>
    <w:multiLevelType w:val="hybridMultilevel"/>
    <w:tmpl w:val="9C0A980A"/>
    <w:lvl w:ilvl="0" w:tplc="2C6C93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E1845"/>
    <w:multiLevelType w:val="hybridMultilevel"/>
    <w:tmpl w:val="49BC20DE"/>
    <w:lvl w:ilvl="0" w:tplc="04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5">
    <w:nsid w:val="35820D1B"/>
    <w:multiLevelType w:val="hybridMultilevel"/>
    <w:tmpl w:val="9596427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F77BC0"/>
    <w:multiLevelType w:val="multilevel"/>
    <w:tmpl w:val="8F5A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210F28"/>
    <w:multiLevelType w:val="hybridMultilevel"/>
    <w:tmpl w:val="3ACAD9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97D5ACF"/>
    <w:multiLevelType w:val="hybridMultilevel"/>
    <w:tmpl w:val="2002397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BA6404"/>
    <w:multiLevelType w:val="multilevel"/>
    <w:tmpl w:val="5B8A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D37D1C"/>
    <w:multiLevelType w:val="hybridMultilevel"/>
    <w:tmpl w:val="CC5EF0C4"/>
    <w:lvl w:ilvl="0" w:tplc="04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1">
    <w:nsid w:val="63306F53"/>
    <w:multiLevelType w:val="multilevel"/>
    <w:tmpl w:val="3084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322693"/>
    <w:multiLevelType w:val="hybridMultilevel"/>
    <w:tmpl w:val="BA909D1A"/>
    <w:lvl w:ilvl="0" w:tplc="64F0A0BC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6" w:hanging="360"/>
      </w:pPr>
    </w:lvl>
    <w:lvl w:ilvl="2" w:tplc="0409001B" w:tentative="1">
      <w:start w:val="1"/>
      <w:numFmt w:val="lowerRoman"/>
      <w:lvlText w:val="%3."/>
      <w:lvlJc w:val="right"/>
      <w:pPr>
        <w:ind w:left="2716" w:hanging="180"/>
      </w:pPr>
    </w:lvl>
    <w:lvl w:ilvl="3" w:tplc="0409000F" w:tentative="1">
      <w:start w:val="1"/>
      <w:numFmt w:val="decimal"/>
      <w:lvlText w:val="%4."/>
      <w:lvlJc w:val="left"/>
      <w:pPr>
        <w:ind w:left="3436" w:hanging="360"/>
      </w:pPr>
    </w:lvl>
    <w:lvl w:ilvl="4" w:tplc="04090019" w:tentative="1">
      <w:start w:val="1"/>
      <w:numFmt w:val="lowerLetter"/>
      <w:lvlText w:val="%5."/>
      <w:lvlJc w:val="left"/>
      <w:pPr>
        <w:ind w:left="4156" w:hanging="360"/>
      </w:pPr>
    </w:lvl>
    <w:lvl w:ilvl="5" w:tplc="0409001B" w:tentative="1">
      <w:start w:val="1"/>
      <w:numFmt w:val="lowerRoman"/>
      <w:lvlText w:val="%6."/>
      <w:lvlJc w:val="right"/>
      <w:pPr>
        <w:ind w:left="4876" w:hanging="180"/>
      </w:pPr>
    </w:lvl>
    <w:lvl w:ilvl="6" w:tplc="0409000F" w:tentative="1">
      <w:start w:val="1"/>
      <w:numFmt w:val="decimal"/>
      <w:lvlText w:val="%7."/>
      <w:lvlJc w:val="left"/>
      <w:pPr>
        <w:ind w:left="5596" w:hanging="360"/>
      </w:pPr>
    </w:lvl>
    <w:lvl w:ilvl="7" w:tplc="04090019" w:tentative="1">
      <w:start w:val="1"/>
      <w:numFmt w:val="lowerLetter"/>
      <w:lvlText w:val="%8."/>
      <w:lvlJc w:val="left"/>
      <w:pPr>
        <w:ind w:left="6316" w:hanging="360"/>
      </w:pPr>
    </w:lvl>
    <w:lvl w:ilvl="8" w:tplc="040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3">
    <w:nsid w:val="651C2D68"/>
    <w:multiLevelType w:val="hybridMultilevel"/>
    <w:tmpl w:val="46C0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7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93046"/>
    <w:rsid w:val="00035147"/>
    <w:rsid w:val="00052CB3"/>
    <w:rsid w:val="000D07A1"/>
    <w:rsid w:val="000F0660"/>
    <w:rsid w:val="001B0866"/>
    <w:rsid w:val="001B4B8A"/>
    <w:rsid w:val="001D3BCC"/>
    <w:rsid w:val="0020207C"/>
    <w:rsid w:val="002E4CA5"/>
    <w:rsid w:val="002E5A3A"/>
    <w:rsid w:val="002F0EA4"/>
    <w:rsid w:val="002F2437"/>
    <w:rsid w:val="00305FBE"/>
    <w:rsid w:val="00370377"/>
    <w:rsid w:val="00396DEF"/>
    <w:rsid w:val="003E01A7"/>
    <w:rsid w:val="003E6A73"/>
    <w:rsid w:val="00476CE3"/>
    <w:rsid w:val="004E681F"/>
    <w:rsid w:val="00563749"/>
    <w:rsid w:val="00584AD1"/>
    <w:rsid w:val="005D0979"/>
    <w:rsid w:val="005E267A"/>
    <w:rsid w:val="00625A60"/>
    <w:rsid w:val="00634FEA"/>
    <w:rsid w:val="00673656"/>
    <w:rsid w:val="006E0598"/>
    <w:rsid w:val="006E2023"/>
    <w:rsid w:val="006F20F0"/>
    <w:rsid w:val="006F3779"/>
    <w:rsid w:val="00763F5C"/>
    <w:rsid w:val="00793046"/>
    <w:rsid w:val="007A01EB"/>
    <w:rsid w:val="007E5641"/>
    <w:rsid w:val="007F409B"/>
    <w:rsid w:val="0083116C"/>
    <w:rsid w:val="008776E1"/>
    <w:rsid w:val="008973EB"/>
    <w:rsid w:val="009112B4"/>
    <w:rsid w:val="00946665"/>
    <w:rsid w:val="009A1DAC"/>
    <w:rsid w:val="009D103C"/>
    <w:rsid w:val="009D2608"/>
    <w:rsid w:val="009E7603"/>
    <w:rsid w:val="00A07307"/>
    <w:rsid w:val="00A265F1"/>
    <w:rsid w:val="00A2786D"/>
    <w:rsid w:val="00A6135F"/>
    <w:rsid w:val="00A72474"/>
    <w:rsid w:val="00B25BD9"/>
    <w:rsid w:val="00B5292F"/>
    <w:rsid w:val="00B85BED"/>
    <w:rsid w:val="00BB657F"/>
    <w:rsid w:val="00C43324"/>
    <w:rsid w:val="00CD59F8"/>
    <w:rsid w:val="00CE2F35"/>
    <w:rsid w:val="00CF1B61"/>
    <w:rsid w:val="00CF278A"/>
    <w:rsid w:val="00D00C63"/>
    <w:rsid w:val="00D11DAF"/>
    <w:rsid w:val="00D66911"/>
    <w:rsid w:val="00DB0543"/>
    <w:rsid w:val="00DD1FEA"/>
    <w:rsid w:val="00E012A5"/>
    <w:rsid w:val="00EE4DAA"/>
    <w:rsid w:val="00F342ED"/>
    <w:rsid w:val="00FE7140"/>
    <w:rsid w:val="00FE7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66"/>
  </w:style>
  <w:style w:type="paragraph" w:styleId="Heading1">
    <w:name w:val="heading 1"/>
    <w:basedOn w:val="Normal"/>
    <w:link w:val="Heading1Char"/>
    <w:uiPriority w:val="9"/>
    <w:qFormat/>
    <w:rsid w:val="00793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3046"/>
    <w:rPr>
      <w:b/>
      <w:bCs/>
    </w:rPr>
  </w:style>
  <w:style w:type="character" w:customStyle="1" w:styleId="apple-converted-space">
    <w:name w:val="apple-converted-space"/>
    <w:basedOn w:val="DefaultParagraphFont"/>
    <w:rsid w:val="00793046"/>
  </w:style>
  <w:style w:type="paragraph" w:styleId="BalloonText">
    <w:name w:val="Balloon Text"/>
    <w:basedOn w:val="Normal"/>
    <w:link w:val="BalloonTextChar"/>
    <w:uiPriority w:val="99"/>
    <w:semiHidden/>
    <w:unhideWhenUsed/>
    <w:rsid w:val="007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4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30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1D3BCC"/>
    <w:rPr>
      <w:i/>
      <w:iCs/>
    </w:rPr>
  </w:style>
  <w:style w:type="paragraph" w:styleId="ListParagraph">
    <w:name w:val="List Paragraph"/>
    <w:basedOn w:val="Normal"/>
    <w:uiPriority w:val="34"/>
    <w:qFormat/>
    <w:rsid w:val="00584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A6DD8-E481-4D46-A650-E2A11007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2016-12-21T13:52:00Z</dcterms:created>
  <dcterms:modified xsi:type="dcterms:W3CDTF">2016-12-21T13:55:00Z</dcterms:modified>
</cp:coreProperties>
</file>