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E5796" w14:textId="77777777" w:rsidR="0014226F" w:rsidRDefault="00A015BA" w:rsidP="00360509">
      <w:pPr>
        <w:spacing w:line="240" w:lineRule="auto"/>
        <w:jc w:val="center"/>
        <w:rPr>
          <w:b/>
          <w:sz w:val="32"/>
          <w:szCs w:val="32"/>
        </w:rPr>
      </w:pPr>
      <w:r w:rsidRPr="00360509">
        <w:rPr>
          <w:b/>
          <w:sz w:val="32"/>
          <w:szCs w:val="32"/>
        </w:rPr>
        <w:t xml:space="preserve">The Place </w:t>
      </w:r>
      <w:r w:rsidRPr="00360509">
        <w:rPr>
          <w:b/>
          <w:sz w:val="32"/>
          <w:szCs w:val="32"/>
        </w:rPr>
        <w:t xml:space="preserve">of International Human Resource </w:t>
      </w:r>
      <w:r w:rsidRPr="00360509">
        <w:rPr>
          <w:b/>
          <w:sz w:val="32"/>
          <w:szCs w:val="32"/>
        </w:rPr>
        <w:t>Management in International Business</w:t>
      </w:r>
    </w:p>
    <w:p w14:paraId="56630536" w14:textId="77777777" w:rsidR="00360509" w:rsidRPr="00360509" w:rsidRDefault="00360509" w:rsidP="00360509">
      <w:pPr>
        <w:spacing w:line="240" w:lineRule="auto"/>
        <w:jc w:val="center"/>
        <w:rPr>
          <w:sz w:val="20"/>
        </w:rPr>
      </w:pPr>
      <w:r w:rsidRPr="00360509">
        <w:rPr>
          <w:sz w:val="20"/>
        </w:rPr>
        <w:t>Received: 1 January 2014 / Revised: 5 May 2014 / Accepted: 27 August 2014 /</w:t>
      </w:r>
    </w:p>
    <w:p w14:paraId="2FCBBBCA" w14:textId="77777777" w:rsidR="00360509" w:rsidRPr="00360509" w:rsidRDefault="00360509" w:rsidP="00360509">
      <w:pPr>
        <w:spacing w:line="240" w:lineRule="auto"/>
        <w:jc w:val="center"/>
        <w:rPr>
          <w:sz w:val="20"/>
        </w:rPr>
      </w:pPr>
      <w:r w:rsidRPr="00360509">
        <w:rPr>
          <w:sz w:val="20"/>
        </w:rPr>
        <w:t>Published online: 28 October 2014</w:t>
      </w:r>
    </w:p>
    <w:p w14:paraId="35EFFFB0" w14:textId="77777777" w:rsidR="00360509" w:rsidRDefault="00360509" w:rsidP="00360509">
      <w:pPr>
        <w:spacing w:line="240" w:lineRule="auto"/>
        <w:jc w:val="center"/>
        <w:rPr>
          <w:sz w:val="20"/>
        </w:rPr>
      </w:pPr>
      <w:r w:rsidRPr="00360509">
        <w:rPr>
          <w:sz w:val="20"/>
        </w:rPr>
        <w:t>Springe</w:t>
      </w:r>
      <w:r>
        <w:rPr>
          <w:sz w:val="20"/>
        </w:rPr>
        <w:t>r-</w:t>
      </w:r>
      <w:proofErr w:type="spellStart"/>
      <w:r>
        <w:rPr>
          <w:sz w:val="20"/>
        </w:rPr>
        <w:t>Verlag</w:t>
      </w:r>
      <w:proofErr w:type="spellEnd"/>
      <w:r>
        <w:rPr>
          <w:sz w:val="20"/>
        </w:rPr>
        <w:t xml:space="preserve"> Berlin Heidelberg 2014</w:t>
      </w:r>
    </w:p>
    <w:p w14:paraId="5330CB78" w14:textId="77777777" w:rsidR="00360509" w:rsidRDefault="00360509" w:rsidP="00360509">
      <w:pPr>
        <w:spacing w:line="240" w:lineRule="auto"/>
        <w:jc w:val="center"/>
        <w:rPr>
          <w:sz w:val="20"/>
        </w:rPr>
      </w:pPr>
    </w:p>
    <w:p w14:paraId="11FA8DD8" w14:textId="77777777" w:rsidR="00360509" w:rsidRDefault="00D40362" w:rsidP="00360509">
      <w:pPr>
        <w:spacing w:line="240" w:lineRule="auto"/>
        <w:jc w:val="both"/>
        <w:rPr>
          <w:b/>
        </w:rPr>
      </w:pPr>
      <w:r>
        <w:rPr>
          <w:b/>
        </w:rPr>
        <w:t>Resume:</w:t>
      </w:r>
    </w:p>
    <w:p w14:paraId="54204360" w14:textId="77777777" w:rsidR="00D40362" w:rsidRPr="004B57D5" w:rsidRDefault="00D40362" w:rsidP="00D40362">
      <w:pPr>
        <w:pStyle w:val="ListParagraph"/>
        <w:numPr>
          <w:ilvl w:val="0"/>
          <w:numId w:val="1"/>
        </w:numPr>
        <w:spacing w:line="240" w:lineRule="auto"/>
        <w:jc w:val="both"/>
        <w:rPr>
          <w:b/>
        </w:rPr>
      </w:pPr>
      <w:r>
        <w:t>The dominance of expatriate adjustment Cultural adjustment has long been recognized as an important aspect of on-assignment performance and of concern to MNC management, given the high maintenance cost of this staffing strategy.</w:t>
      </w:r>
    </w:p>
    <w:p w14:paraId="74C5A4A5" w14:textId="77777777" w:rsidR="004B57D5" w:rsidRPr="004B57D5" w:rsidRDefault="004B57D5" w:rsidP="00D40362">
      <w:pPr>
        <w:pStyle w:val="ListParagraph"/>
        <w:numPr>
          <w:ilvl w:val="0"/>
          <w:numId w:val="1"/>
        </w:numPr>
        <w:spacing w:line="240" w:lineRule="auto"/>
        <w:jc w:val="both"/>
        <w:rPr>
          <w:b/>
        </w:rPr>
      </w:pPr>
      <w:r>
        <w:t>However, it could be argued that we have reached the stage of diminishing returns from research on expatriate adjustment.</w:t>
      </w:r>
    </w:p>
    <w:p w14:paraId="5D4A47EC" w14:textId="77777777" w:rsidR="004B57D5" w:rsidRPr="004B57D5" w:rsidRDefault="004B57D5" w:rsidP="00D40362">
      <w:pPr>
        <w:pStyle w:val="ListParagraph"/>
        <w:numPr>
          <w:ilvl w:val="0"/>
          <w:numId w:val="1"/>
        </w:numPr>
        <w:spacing w:line="240" w:lineRule="auto"/>
        <w:jc w:val="both"/>
        <w:rPr>
          <w:b/>
        </w:rPr>
      </w:pPr>
      <w:r>
        <w:t>Takeuchi (2010) critiques, expatriate performance research has largely neglected the effects of assignments on other stakeholders; such as family members, host country nationals</w:t>
      </w:r>
      <w:r>
        <w:t>, and parent country nationals.</w:t>
      </w:r>
    </w:p>
    <w:p w14:paraId="05B61DDA" w14:textId="77777777" w:rsidR="004B57D5" w:rsidRPr="004B57D5" w:rsidRDefault="004B57D5" w:rsidP="00D40362">
      <w:pPr>
        <w:pStyle w:val="ListParagraph"/>
        <w:numPr>
          <w:ilvl w:val="0"/>
          <w:numId w:val="1"/>
        </w:numPr>
        <w:spacing w:line="240" w:lineRule="auto"/>
        <w:jc w:val="both"/>
        <w:rPr>
          <w:b/>
        </w:rPr>
      </w:pPr>
      <w:r>
        <w:t>The use of adjustment as an explanatory variable for expatriate perfor</w:t>
      </w:r>
      <w:r>
        <w:t xml:space="preserve">mance and turnover is dangerous, it </w:t>
      </w:r>
      <w:r>
        <w:t>blinds us from seeking other potential explanations; and may be likened to the Drunkard’s Search: Taking the easier, well-lit path of scholarly inquiry (Brews</w:t>
      </w:r>
      <w:r>
        <w:t>ter 1999; McKenna et al. 2008).</w:t>
      </w:r>
    </w:p>
    <w:p w14:paraId="36A3E400" w14:textId="77777777" w:rsidR="004B57D5" w:rsidRPr="004B57D5" w:rsidRDefault="004B57D5" w:rsidP="00D40362">
      <w:pPr>
        <w:pStyle w:val="ListParagraph"/>
        <w:numPr>
          <w:ilvl w:val="0"/>
          <w:numId w:val="1"/>
        </w:numPr>
        <w:spacing w:line="240" w:lineRule="auto"/>
        <w:jc w:val="both"/>
        <w:rPr>
          <w:b/>
        </w:rPr>
      </w:pPr>
      <w:r>
        <w:t>Moreover, continuing to devote research time to expatriate adjustment for marginal benefit carries the danger of reinforcing the perception that IHRM equals expatriate management, or that the field is an extension of cross-cultural management.</w:t>
      </w:r>
    </w:p>
    <w:p w14:paraId="486EA97E" w14:textId="77777777" w:rsidR="004B57D5" w:rsidRPr="004B57D5" w:rsidRDefault="004B57D5" w:rsidP="00D40362">
      <w:pPr>
        <w:pStyle w:val="ListParagraph"/>
        <w:numPr>
          <w:ilvl w:val="0"/>
          <w:numId w:val="1"/>
        </w:numPr>
        <w:spacing w:line="240" w:lineRule="auto"/>
        <w:jc w:val="both"/>
        <w:rPr>
          <w:b/>
        </w:rPr>
      </w:pPr>
      <w:r>
        <w:t xml:space="preserve">The recent work on different types of assignments shifts attention from senior management to a broader cohort of international assignees, but it maintains an emphasis on a select group. </w:t>
      </w:r>
    </w:p>
    <w:p w14:paraId="58692A47" w14:textId="77777777" w:rsidR="004B57D5" w:rsidRPr="004B57D5" w:rsidRDefault="004B57D5" w:rsidP="00D40362">
      <w:pPr>
        <w:pStyle w:val="ListParagraph"/>
        <w:numPr>
          <w:ilvl w:val="0"/>
          <w:numId w:val="1"/>
        </w:numPr>
        <w:spacing w:line="240" w:lineRule="auto"/>
        <w:jc w:val="both"/>
        <w:rPr>
          <w:b/>
        </w:rPr>
      </w:pPr>
      <w:r>
        <w:t>It is demonstrably clear that international assignees constitute only a fraction of a MNC’s total global workforce, yet there has been relatively limited work regarding the HR management of local employees working for MNCs.</w:t>
      </w:r>
    </w:p>
    <w:p w14:paraId="5587C806" w14:textId="77777777" w:rsidR="004B57D5" w:rsidRPr="004B57D5" w:rsidRDefault="004B57D5" w:rsidP="00D40362">
      <w:pPr>
        <w:pStyle w:val="ListParagraph"/>
        <w:numPr>
          <w:ilvl w:val="0"/>
          <w:numId w:val="1"/>
        </w:numPr>
        <w:spacing w:line="240" w:lineRule="auto"/>
        <w:jc w:val="both"/>
        <w:rPr>
          <w:b/>
        </w:rPr>
      </w:pPr>
      <w:r>
        <w:t>The diversity of the MNC-related stream reveals there are a burgeoning number of articles dealing with people issues beyond the confines of expatriate management.</w:t>
      </w:r>
    </w:p>
    <w:p w14:paraId="55116D0A" w14:textId="77777777" w:rsidR="004B57D5" w:rsidRPr="004B57D5" w:rsidRDefault="004B57D5" w:rsidP="00D40362">
      <w:pPr>
        <w:pStyle w:val="ListParagraph"/>
        <w:numPr>
          <w:ilvl w:val="0"/>
          <w:numId w:val="1"/>
        </w:numPr>
        <w:spacing w:line="240" w:lineRule="auto"/>
        <w:jc w:val="both"/>
        <w:rPr>
          <w:b/>
        </w:rPr>
      </w:pPr>
      <w:r>
        <w:t>MNC context</w:t>
      </w:r>
      <w:r>
        <w:t>;</w:t>
      </w:r>
      <w:r>
        <w:t xml:space="preserve"> A large number of studies in the general IB literature have examined the way in which institutional factors (including political-legal, the economic system, the educational system, and the forms and values associated with these) and cultural factors influence an MNC’s global operations.</w:t>
      </w:r>
    </w:p>
    <w:p w14:paraId="1890F0D3" w14:textId="77777777" w:rsidR="004B57D5" w:rsidRPr="008A37F2" w:rsidRDefault="004B57D5" w:rsidP="00D40362">
      <w:pPr>
        <w:pStyle w:val="ListParagraph"/>
        <w:numPr>
          <w:ilvl w:val="0"/>
          <w:numId w:val="1"/>
        </w:numPr>
        <w:spacing w:line="240" w:lineRule="auto"/>
        <w:jc w:val="both"/>
        <w:rPr>
          <w:b/>
        </w:rPr>
      </w:pPr>
      <w:r>
        <w:t>Firms operating in the dynamic global environment constantly make strategic decisions, such as divesting operations in one country or moving into new markets and contexts. Each of these decisions has HR consequences. As the work on social capital and knowledge transfer reminds us, people are an important resource.</w:t>
      </w:r>
    </w:p>
    <w:p w14:paraId="0B73A07A" w14:textId="77777777" w:rsidR="008A37F2" w:rsidRDefault="008A37F2" w:rsidP="008A37F2">
      <w:pPr>
        <w:spacing w:line="240" w:lineRule="auto"/>
        <w:ind w:left="360"/>
        <w:jc w:val="both"/>
        <w:rPr>
          <w:b/>
        </w:rPr>
      </w:pPr>
    </w:p>
    <w:p w14:paraId="6DE02948" w14:textId="77777777" w:rsidR="008A37F2" w:rsidRDefault="008A37F2" w:rsidP="008A37F2">
      <w:pPr>
        <w:spacing w:line="240" w:lineRule="auto"/>
        <w:ind w:left="360"/>
        <w:jc w:val="both"/>
        <w:rPr>
          <w:b/>
        </w:rPr>
      </w:pPr>
      <w:bookmarkStart w:id="0" w:name="_GoBack"/>
      <w:bookmarkEnd w:id="0"/>
    </w:p>
    <w:p w14:paraId="4B9C9B81" w14:textId="77777777" w:rsidR="008A37F2" w:rsidRDefault="008A37F2" w:rsidP="008A37F2">
      <w:pPr>
        <w:spacing w:line="240" w:lineRule="auto"/>
        <w:ind w:left="360"/>
        <w:jc w:val="both"/>
        <w:rPr>
          <w:b/>
        </w:rPr>
      </w:pPr>
    </w:p>
    <w:p w14:paraId="52067084" w14:textId="77777777" w:rsidR="008A37F2" w:rsidRDefault="008A37F2" w:rsidP="008A37F2">
      <w:pPr>
        <w:spacing w:line="240" w:lineRule="auto"/>
        <w:ind w:left="360"/>
        <w:jc w:val="center"/>
        <w:rPr>
          <w:b/>
          <w:sz w:val="32"/>
          <w:szCs w:val="32"/>
        </w:rPr>
      </w:pPr>
      <w:r w:rsidRPr="008A37F2">
        <w:rPr>
          <w:b/>
          <w:sz w:val="32"/>
          <w:szCs w:val="32"/>
        </w:rPr>
        <w:t>Muslim Diaspora in the West and International HRM</w:t>
      </w:r>
    </w:p>
    <w:p w14:paraId="5C174AD3" w14:textId="77777777" w:rsidR="008A37F2" w:rsidRDefault="008A37F2" w:rsidP="008A37F2">
      <w:pPr>
        <w:spacing w:line="240" w:lineRule="auto"/>
        <w:ind w:left="360"/>
        <w:jc w:val="center"/>
      </w:pPr>
      <w:proofErr w:type="spellStart"/>
      <w:r w:rsidRPr="008A37F2">
        <w:t>Jawad</w:t>
      </w:r>
      <w:proofErr w:type="spellEnd"/>
      <w:r w:rsidRPr="008A37F2">
        <w:t xml:space="preserve"> Syed &amp; Edwina </w:t>
      </w:r>
      <w:proofErr w:type="spellStart"/>
      <w:r w:rsidRPr="008A37F2">
        <w:t>Pio</w:t>
      </w:r>
      <w:proofErr w:type="spellEnd"/>
    </w:p>
    <w:p w14:paraId="049E5673" w14:textId="77777777" w:rsidR="008A37F2" w:rsidRDefault="008A37F2" w:rsidP="008A37F2">
      <w:pPr>
        <w:spacing w:line="240" w:lineRule="auto"/>
        <w:ind w:left="360"/>
        <w:jc w:val="center"/>
      </w:pPr>
      <w:r w:rsidRPr="008A37F2">
        <w:t>Published online: 15 Apr 2016.</w:t>
      </w:r>
    </w:p>
    <w:p w14:paraId="49672C6E" w14:textId="77777777" w:rsidR="008A37F2" w:rsidRDefault="008A37F2" w:rsidP="008A37F2">
      <w:pPr>
        <w:spacing w:line="240" w:lineRule="auto"/>
        <w:ind w:left="360"/>
        <w:jc w:val="center"/>
      </w:pPr>
    </w:p>
    <w:p w14:paraId="162049B6" w14:textId="77777777" w:rsidR="008A37F2" w:rsidRDefault="008A37F2" w:rsidP="008A37F2">
      <w:pPr>
        <w:spacing w:line="240" w:lineRule="auto"/>
      </w:pPr>
      <w:r>
        <w:t>Resume:</w:t>
      </w:r>
    </w:p>
    <w:p w14:paraId="6FB8851C" w14:textId="77777777" w:rsidR="008A37F2" w:rsidRDefault="008A37F2" w:rsidP="008A37F2">
      <w:pPr>
        <w:pStyle w:val="ListParagraph"/>
        <w:numPr>
          <w:ilvl w:val="0"/>
          <w:numId w:val="1"/>
        </w:numPr>
        <w:spacing w:line="240" w:lineRule="auto"/>
      </w:pPr>
      <w:proofErr w:type="spellStart"/>
      <w:r w:rsidRPr="008A37F2">
        <w:t>Organisations</w:t>
      </w:r>
      <w:proofErr w:type="spellEnd"/>
      <w:r w:rsidRPr="008A37F2">
        <w:t xml:space="preserve"> today have to contend with a </w:t>
      </w:r>
      <w:proofErr w:type="spellStart"/>
      <w:r w:rsidRPr="008A37F2">
        <w:t>pluri</w:t>
      </w:r>
      <w:proofErr w:type="spellEnd"/>
      <w:r w:rsidRPr="008A37F2">
        <w:t>-religious workforce and hence there is a need to enhance and expand knowledge, understanding and managerial practices in dealing with religion at work.</w:t>
      </w:r>
    </w:p>
    <w:p w14:paraId="14D773A4" w14:textId="77777777" w:rsidR="008A37F2" w:rsidRDefault="008A37F2" w:rsidP="008A37F2">
      <w:pPr>
        <w:pStyle w:val="ListParagraph"/>
        <w:numPr>
          <w:ilvl w:val="0"/>
          <w:numId w:val="1"/>
        </w:numPr>
        <w:spacing w:line="240" w:lineRule="auto"/>
      </w:pPr>
      <w:r>
        <w:t>F</w:t>
      </w:r>
      <w:r w:rsidRPr="008A37F2">
        <w:t xml:space="preserve">our distinct </w:t>
      </w:r>
      <w:proofErr w:type="spellStart"/>
      <w:r w:rsidRPr="008A37F2">
        <w:t>organisational</w:t>
      </w:r>
      <w:proofErr w:type="spellEnd"/>
      <w:r w:rsidRPr="008A37F2">
        <w:t xml:space="preserve"> approaches to religion and spirituality at work: faith avoiding, faith-based, faith-safe and faith-friendly. </w:t>
      </w:r>
    </w:p>
    <w:p w14:paraId="287C26C8" w14:textId="77777777" w:rsidR="008A37F2" w:rsidRDefault="008A37F2" w:rsidP="008A37F2">
      <w:pPr>
        <w:pStyle w:val="ListParagraph"/>
        <w:numPr>
          <w:ilvl w:val="1"/>
          <w:numId w:val="1"/>
        </w:numPr>
        <w:spacing w:line="240" w:lineRule="auto"/>
      </w:pPr>
      <w:r w:rsidRPr="008A37F2">
        <w:t xml:space="preserve">The faith-avoiding </w:t>
      </w:r>
      <w:proofErr w:type="spellStart"/>
      <w:r w:rsidRPr="008A37F2">
        <w:t>organisation</w:t>
      </w:r>
      <w:proofErr w:type="spellEnd"/>
      <w:r w:rsidRPr="008A37F2">
        <w:t xml:space="preserve"> chooses to suppress personal/community expressions of faith and employees may perceive that the </w:t>
      </w:r>
      <w:proofErr w:type="spellStart"/>
      <w:r w:rsidRPr="008A37F2">
        <w:t>organisation</w:t>
      </w:r>
      <w:proofErr w:type="spellEnd"/>
      <w:r w:rsidRPr="008A37F2">
        <w:t xml:space="preserve"> is acting unjustly with regard to religious accommodation.</w:t>
      </w:r>
    </w:p>
    <w:p w14:paraId="3DE89615" w14:textId="77777777" w:rsidR="008A37F2" w:rsidRDefault="008A37F2" w:rsidP="008A37F2">
      <w:pPr>
        <w:pStyle w:val="ListParagraph"/>
        <w:numPr>
          <w:ilvl w:val="1"/>
          <w:numId w:val="1"/>
        </w:numPr>
        <w:spacing w:line="240" w:lineRule="auto"/>
      </w:pPr>
      <w:r w:rsidRPr="008A37F2">
        <w:t xml:space="preserve">The faith-based </w:t>
      </w:r>
      <w:proofErr w:type="spellStart"/>
      <w:r w:rsidRPr="008A37F2">
        <w:t>organisations</w:t>
      </w:r>
      <w:proofErr w:type="spellEnd"/>
      <w:r w:rsidRPr="008A37F2">
        <w:t xml:space="preserve"> are generally grounded in one particular faith tradition, often reflecting the faith traditions of the founder and/or top management team. However, those outside the dominant faith tradition may </w:t>
      </w:r>
      <w:r>
        <w:t xml:space="preserve">feel </w:t>
      </w:r>
      <w:proofErr w:type="spellStart"/>
      <w:r>
        <w:t>marginalised</w:t>
      </w:r>
      <w:proofErr w:type="spellEnd"/>
      <w:r>
        <w:t xml:space="preserve"> and excluded.</w:t>
      </w:r>
    </w:p>
    <w:p w14:paraId="1ED26BCA" w14:textId="77777777" w:rsidR="008A37F2" w:rsidRDefault="008A37F2" w:rsidP="008A37F2">
      <w:pPr>
        <w:pStyle w:val="ListParagraph"/>
        <w:numPr>
          <w:ilvl w:val="1"/>
          <w:numId w:val="1"/>
        </w:numPr>
        <w:spacing w:line="240" w:lineRule="auto"/>
      </w:pPr>
      <w:r w:rsidRPr="008A37F2">
        <w:t xml:space="preserve">The faith-safe </w:t>
      </w:r>
      <w:proofErr w:type="spellStart"/>
      <w:r w:rsidRPr="008A37F2">
        <w:t>organisation</w:t>
      </w:r>
      <w:proofErr w:type="spellEnd"/>
      <w:r w:rsidRPr="008A37F2">
        <w:t xml:space="preserve"> tolerates faith at work, ensures compliance with basic legal requirements but does not necessarily embra</w:t>
      </w:r>
      <w:r>
        <w:t>ce or encourage its expression.</w:t>
      </w:r>
    </w:p>
    <w:p w14:paraId="097DD4CA" w14:textId="77777777" w:rsidR="008A37F2" w:rsidRDefault="008A37F2" w:rsidP="008A37F2">
      <w:pPr>
        <w:pStyle w:val="ListParagraph"/>
        <w:numPr>
          <w:ilvl w:val="1"/>
          <w:numId w:val="1"/>
        </w:numPr>
        <w:spacing w:line="240" w:lineRule="auto"/>
      </w:pPr>
      <w:r w:rsidRPr="008A37F2">
        <w:t xml:space="preserve">The faith-friendly </w:t>
      </w:r>
      <w:proofErr w:type="spellStart"/>
      <w:r w:rsidRPr="008A37F2">
        <w:t>organisation</w:t>
      </w:r>
      <w:proofErr w:type="spellEnd"/>
      <w:r w:rsidRPr="008A37F2">
        <w:t xml:space="preserve"> goes beyond minimum legal requirements and welcomes manifestations of faith at work, with all faith traditions treated at par and with respect.</w:t>
      </w:r>
    </w:p>
    <w:p w14:paraId="3B5909E6" w14:textId="77777777" w:rsidR="008A37F2" w:rsidRDefault="008A37F2" w:rsidP="008A37F2">
      <w:pPr>
        <w:pStyle w:val="ListParagraph"/>
        <w:numPr>
          <w:ilvl w:val="0"/>
          <w:numId w:val="1"/>
        </w:numPr>
        <w:spacing w:line="240" w:lineRule="auto"/>
      </w:pPr>
      <w:r w:rsidRPr="008A37F2">
        <w:t>Due to the numeric growth of Muslims within Europe, along with their growing desire for the advancement of Islamic values within the countries where they or their ancestors have settled (</w:t>
      </w:r>
      <w:proofErr w:type="spellStart"/>
      <w:r w:rsidRPr="008A37F2">
        <w:t>Loobuyck</w:t>
      </w:r>
      <w:proofErr w:type="spellEnd"/>
      <w:r w:rsidRPr="008A37F2">
        <w:t xml:space="preserve"> et al., 2013), there has been a significant change in attitude by Western governments towards the presence of Muslims since the 1990s.</w:t>
      </w:r>
    </w:p>
    <w:p w14:paraId="61DD7F17" w14:textId="77777777" w:rsidR="008A37F2" w:rsidRDefault="008A37F2" w:rsidP="008A37F2">
      <w:pPr>
        <w:pStyle w:val="ListParagraph"/>
        <w:numPr>
          <w:ilvl w:val="0"/>
          <w:numId w:val="1"/>
        </w:numPr>
        <w:spacing w:line="240" w:lineRule="auto"/>
      </w:pPr>
      <w:r w:rsidRPr="008A37F2">
        <w:t xml:space="preserve">However, </w:t>
      </w:r>
      <w:proofErr w:type="spellStart"/>
      <w:r w:rsidRPr="008A37F2">
        <w:t>Lebl</w:t>
      </w:r>
      <w:proofErr w:type="spellEnd"/>
      <w:r w:rsidRPr="008A37F2">
        <w:t xml:space="preserve"> (2014) opines that the outcome of such policies was that it was no longer appropriate for anyone to promote the dominant or majority culture, as to do so would be to undermine the equality or status of other equally valid, minority perspectives.</w:t>
      </w:r>
    </w:p>
    <w:p w14:paraId="09617A96" w14:textId="77777777" w:rsidR="008A37F2" w:rsidRDefault="008A37F2" w:rsidP="008A37F2">
      <w:pPr>
        <w:pStyle w:val="ListParagraph"/>
        <w:numPr>
          <w:ilvl w:val="0"/>
          <w:numId w:val="1"/>
        </w:numPr>
        <w:spacing w:line="240" w:lineRule="auto"/>
      </w:pPr>
      <w:proofErr w:type="spellStart"/>
      <w:r w:rsidRPr="008A37F2">
        <w:t>Bouma</w:t>
      </w:r>
      <w:proofErr w:type="spellEnd"/>
      <w:r w:rsidRPr="008A37F2">
        <w:t xml:space="preserve">, </w:t>
      </w:r>
      <w:proofErr w:type="spellStart"/>
      <w:r w:rsidRPr="008A37F2">
        <w:t>Haidar</w:t>
      </w:r>
      <w:proofErr w:type="spellEnd"/>
      <w:r w:rsidRPr="008A37F2">
        <w:t xml:space="preserve">, </w:t>
      </w:r>
      <w:proofErr w:type="spellStart"/>
      <w:r w:rsidRPr="008A37F2">
        <w:t>Nyland</w:t>
      </w:r>
      <w:proofErr w:type="spellEnd"/>
      <w:r w:rsidRPr="008A37F2">
        <w:t>, and Smith (2003) suggest that there is no inherent conflict between Islamic faith and modern workplaces, and therefore any potential areas of friction between Islam and contemporary HRM practices can be managed effectively.</w:t>
      </w:r>
    </w:p>
    <w:p w14:paraId="7BA88F2D" w14:textId="77777777" w:rsidR="008A37F2" w:rsidRDefault="008A37F2" w:rsidP="008A37F2">
      <w:pPr>
        <w:pStyle w:val="ListParagraph"/>
        <w:numPr>
          <w:ilvl w:val="0"/>
          <w:numId w:val="1"/>
        </w:numPr>
        <w:spacing w:line="240" w:lineRule="auto"/>
      </w:pPr>
      <w:r w:rsidRPr="008A37F2">
        <w:t xml:space="preserve">Muslim </w:t>
      </w:r>
      <w:proofErr w:type="spellStart"/>
      <w:r w:rsidRPr="008A37F2">
        <w:t>organisational</w:t>
      </w:r>
      <w:proofErr w:type="spellEnd"/>
      <w:r w:rsidRPr="008A37F2">
        <w:t xml:space="preserve"> leaders tend to be collectivistic in nature preferring avoidance and evading arguments in </w:t>
      </w:r>
      <w:proofErr w:type="spellStart"/>
      <w:r w:rsidRPr="008A37F2">
        <w:t>organisational</w:t>
      </w:r>
      <w:proofErr w:type="spellEnd"/>
      <w:r w:rsidRPr="008A37F2">
        <w:t xml:space="preserve"> settings if it benefits the communal good, despite the fact that they are more autocratic leaders as compared to Christian leaders – this may be based on their strict adherence to </w:t>
      </w:r>
      <w:proofErr w:type="spellStart"/>
      <w:r w:rsidRPr="008A37F2">
        <w:t>Quranic</w:t>
      </w:r>
      <w:proofErr w:type="spellEnd"/>
      <w:r w:rsidRPr="008A37F2">
        <w:t xml:space="preserve"> principles (</w:t>
      </w:r>
      <w:proofErr w:type="spellStart"/>
      <w:r w:rsidRPr="008A37F2">
        <w:t>Possner</w:t>
      </w:r>
      <w:proofErr w:type="spellEnd"/>
      <w:r w:rsidRPr="008A37F2">
        <w:t>, 2015).</w:t>
      </w:r>
    </w:p>
    <w:p w14:paraId="0C89A484" w14:textId="77777777" w:rsidR="008A37F2" w:rsidRDefault="008A37F2" w:rsidP="008A37F2">
      <w:pPr>
        <w:pStyle w:val="ListParagraph"/>
        <w:numPr>
          <w:ilvl w:val="0"/>
          <w:numId w:val="1"/>
        </w:numPr>
        <w:spacing w:line="240" w:lineRule="auto"/>
      </w:pPr>
      <w:r w:rsidRPr="008A37F2">
        <w:t xml:space="preserve">In their multilevel study of Muslim migrant women in Australia, Syed and </w:t>
      </w:r>
      <w:proofErr w:type="spellStart"/>
      <w:r w:rsidRPr="008A37F2">
        <w:t>Pio</w:t>
      </w:r>
      <w:proofErr w:type="spellEnd"/>
      <w:r w:rsidRPr="008A37F2">
        <w:t xml:space="preserve"> (2010) note that holding </w:t>
      </w:r>
      <w:proofErr w:type="spellStart"/>
      <w:r w:rsidRPr="008A37F2">
        <w:t>organisations</w:t>
      </w:r>
      <w:proofErr w:type="spellEnd"/>
      <w:r w:rsidRPr="008A37F2">
        <w:t xml:space="preserve"> solely accountable for diversity policies may be inadequate as diversity management is impacted by both macro-societal and micro-individual issues.</w:t>
      </w:r>
    </w:p>
    <w:p w14:paraId="1779167A" w14:textId="77777777" w:rsidR="008A37F2" w:rsidRDefault="004B57D5" w:rsidP="004B57D5">
      <w:pPr>
        <w:pStyle w:val="ListParagraph"/>
        <w:numPr>
          <w:ilvl w:val="0"/>
          <w:numId w:val="1"/>
        </w:numPr>
        <w:spacing w:line="240" w:lineRule="auto"/>
      </w:pPr>
      <w:r w:rsidRPr="004B57D5">
        <w:t xml:space="preserve">Using human agency and coping theory, drawing on interviews with Muslim female professionals in the UK and Australia, the authors investigate the coping strategies of Muslim professional women, how they adapt and react to and reflect on stressful workplace events such as discriminatory </w:t>
      </w:r>
      <w:proofErr w:type="spellStart"/>
      <w:r w:rsidRPr="004B57D5">
        <w:t>behaviour</w:t>
      </w:r>
      <w:proofErr w:type="spellEnd"/>
      <w:r w:rsidRPr="004B57D5">
        <w:t>.</w:t>
      </w:r>
    </w:p>
    <w:p w14:paraId="1B5FF47B" w14:textId="77777777" w:rsidR="004B57D5" w:rsidRPr="008A37F2" w:rsidRDefault="004B57D5" w:rsidP="004B57D5">
      <w:pPr>
        <w:pStyle w:val="ListParagraph"/>
        <w:numPr>
          <w:ilvl w:val="0"/>
          <w:numId w:val="1"/>
        </w:numPr>
        <w:spacing w:line="240" w:lineRule="auto"/>
      </w:pPr>
      <w:r w:rsidRPr="004B57D5">
        <w:t>The findings indicate that active coping and planning to deal with stressful events is important to ethnic minorities and that emotion-focused coping is invoked when less active planning is prevalent.</w:t>
      </w:r>
    </w:p>
    <w:p w14:paraId="4B32C1F7" w14:textId="77777777" w:rsidR="00D40362" w:rsidRDefault="00D40362" w:rsidP="00360509">
      <w:pPr>
        <w:spacing w:line="240" w:lineRule="auto"/>
        <w:jc w:val="both"/>
      </w:pPr>
    </w:p>
    <w:p w14:paraId="7547EBCE" w14:textId="77777777" w:rsidR="00360509" w:rsidRDefault="00360509" w:rsidP="00360509">
      <w:pPr>
        <w:spacing w:line="240" w:lineRule="auto"/>
        <w:jc w:val="both"/>
      </w:pPr>
    </w:p>
    <w:p w14:paraId="632E3E30" w14:textId="77777777" w:rsidR="00360509" w:rsidRDefault="00360509" w:rsidP="00360509">
      <w:pPr>
        <w:spacing w:line="240" w:lineRule="auto"/>
        <w:jc w:val="both"/>
        <w:rPr>
          <w:sz w:val="20"/>
        </w:rPr>
      </w:pPr>
    </w:p>
    <w:p w14:paraId="00149720" w14:textId="77777777" w:rsidR="00360509" w:rsidRPr="00360509" w:rsidRDefault="00360509" w:rsidP="00360509">
      <w:pPr>
        <w:spacing w:line="240" w:lineRule="auto"/>
        <w:jc w:val="both"/>
        <w:rPr>
          <w:sz w:val="20"/>
        </w:rPr>
      </w:pPr>
    </w:p>
    <w:p w14:paraId="30F65861" w14:textId="77777777" w:rsidR="00A015BA" w:rsidRPr="00A015BA" w:rsidRDefault="00A015BA" w:rsidP="00360509">
      <w:pPr>
        <w:spacing w:line="240" w:lineRule="auto"/>
        <w:jc w:val="both"/>
      </w:pPr>
    </w:p>
    <w:sectPr w:rsidR="00A015BA" w:rsidRPr="00A015B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BB032" w14:textId="77777777" w:rsidR="00A015BA" w:rsidRDefault="00A015BA" w:rsidP="00A015BA">
      <w:pPr>
        <w:spacing w:after="0" w:line="240" w:lineRule="auto"/>
      </w:pPr>
      <w:r>
        <w:separator/>
      </w:r>
    </w:p>
  </w:endnote>
  <w:endnote w:type="continuationSeparator" w:id="0">
    <w:p w14:paraId="0A52A08E" w14:textId="77777777" w:rsidR="00A015BA" w:rsidRDefault="00A015BA" w:rsidP="00A0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B02DA" w14:textId="77777777" w:rsidR="00A015BA" w:rsidRDefault="00A015BA" w:rsidP="00A015BA">
      <w:pPr>
        <w:spacing w:after="0" w:line="240" w:lineRule="auto"/>
      </w:pPr>
      <w:r>
        <w:separator/>
      </w:r>
    </w:p>
  </w:footnote>
  <w:footnote w:type="continuationSeparator" w:id="0">
    <w:p w14:paraId="15082D0A" w14:textId="77777777" w:rsidR="00A015BA" w:rsidRDefault="00A015BA" w:rsidP="00A01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02ACE" w14:textId="77777777" w:rsidR="00A015BA" w:rsidRDefault="00A015BA">
    <w:pPr>
      <w:pStyle w:val="Header"/>
    </w:pPr>
    <w:r>
      <w:t>Rizca Nur Afivtya Puteri</w:t>
    </w:r>
  </w:p>
  <w:p w14:paraId="2A47210A" w14:textId="77777777" w:rsidR="00A015BA" w:rsidRDefault="00A015BA">
    <w:pPr>
      <w:pStyle w:val="Header"/>
    </w:pPr>
    <w:r>
      <w:t>14808144017</w:t>
    </w:r>
  </w:p>
  <w:p w14:paraId="05CB4E62" w14:textId="77777777" w:rsidR="00A015BA" w:rsidRDefault="00A015BA">
    <w:pPr>
      <w:pStyle w:val="Header"/>
    </w:pPr>
    <w:proofErr w:type="spellStart"/>
    <w:r>
      <w:t>Manajemen</w:t>
    </w:r>
    <w:proofErr w:type="spellEnd"/>
    <w:r>
      <w:t xml:space="preserve"> U14</w:t>
    </w:r>
  </w:p>
  <w:p w14:paraId="638ABF98" w14:textId="77777777" w:rsidR="00A015BA" w:rsidRDefault="00A01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360ACD"/>
    <w:multiLevelType w:val="hybridMultilevel"/>
    <w:tmpl w:val="08920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BA"/>
    <w:rsid w:val="0014226F"/>
    <w:rsid w:val="002357DC"/>
    <w:rsid w:val="00360509"/>
    <w:rsid w:val="004B57D5"/>
    <w:rsid w:val="008A37F2"/>
    <w:rsid w:val="00A015BA"/>
    <w:rsid w:val="00D4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A522"/>
  <w15:chartTrackingRefBased/>
  <w15:docId w15:val="{E845CB4D-12DD-4875-A529-C97AF98E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5BA"/>
  </w:style>
  <w:style w:type="paragraph" w:styleId="Footer">
    <w:name w:val="footer"/>
    <w:basedOn w:val="Normal"/>
    <w:link w:val="FooterChar"/>
    <w:uiPriority w:val="99"/>
    <w:unhideWhenUsed/>
    <w:rsid w:val="00A01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5BA"/>
  </w:style>
  <w:style w:type="paragraph" w:styleId="ListParagraph">
    <w:name w:val="List Paragraph"/>
    <w:basedOn w:val="Normal"/>
    <w:uiPriority w:val="34"/>
    <w:qFormat/>
    <w:rsid w:val="00D40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31BA0-0BCB-4356-A14E-99E3CE19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Rizca Nur Afivtya Puteri</dc:creator>
  <cp:keywords/>
  <dc:description/>
  <cp:lastModifiedBy>Rizca Nur Afivtya Puteri</cp:lastModifiedBy>
  <cp:revision>2</cp:revision>
  <dcterms:created xsi:type="dcterms:W3CDTF">2016-10-03T00:12:00Z</dcterms:created>
  <dcterms:modified xsi:type="dcterms:W3CDTF">2016-10-03T00:12:00Z</dcterms:modified>
</cp:coreProperties>
</file>