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0FD" w:rsidRDefault="007E72E7" w:rsidP="007E72E7">
      <w:pPr>
        <w:spacing w:line="240" w:lineRule="auto"/>
      </w:pPr>
      <w:r>
        <w:t>Nama</w:t>
      </w:r>
      <w:r>
        <w:tab/>
      </w:r>
      <w:r>
        <w:tab/>
        <w:t>: Bagus Nugroho</w:t>
      </w:r>
    </w:p>
    <w:p w:rsidR="007E72E7" w:rsidRDefault="007E72E7" w:rsidP="007E72E7">
      <w:pPr>
        <w:spacing w:line="240" w:lineRule="auto"/>
      </w:pPr>
      <w:r>
        <w:t>NIM</w:t>
      </w:r>
      <w:r>
        <w:tab/>
      </w:r>
      <w:r>
        <w:tab/>
        <w:t>: 13808141030</w:t>
      </w:r>
    </w:p>
    <w:p w:rsidR="007E72E7" w:rsidRDefault="007E72E7" w:rsidP="007E72E7">
      <w:pPr>
        <w:spacing w:line="240" w:lineRule="auto"/>
      </w:pPr>
      <w:r>
        <w:t>Jurusan</w:t>
      </w:r>
      <w:r>
        <w:tab/>
        <w:t>: Manajemen</w:t>
      </w:r>
    </w:p>
    <w:p w:rsidR="007E72E7" w:rsidRDefault="007E72E7" w:rsidP="007E72E7">
      <w:pPr>
        <w:spacing w:line="360" w:lineRule="auto"/>
      </w:pPr>
    </w:p>
    <w:p w:rsidR="007E72E7" w:rsidRPr="006E037A" w:rsidRDefault="00630FF1" w:rsidP="00630FF1">
      <w:pPr>
        <w:spacing w:line="360" w:lineRule="auto"/>
        <w:jc w:val="center"/>
        <w:rPr>
          <w:b/>
        </w:rPr>
      </w:pPr>
      <w:r w:rsidRPr="006E037A">
        <w:rPr>
          <w:b/>
          <w:sz w:val="28"/>
          <w:szCs w:val="28"/>
        </w:rPr>
        <w:t>Roadmap dan Strategi dari PT. Semen Indonesia (Persero) Tbk</w:t>
      </w:r>
      <w:r w:rsidRPr="006E037A">
        <w:rPr>
          <w:b/>
        </w:rPr>
        <w:t>.</w:t>
      </w:r>
    </w:p>
    <w:p w:rsidR="00630FF1" w:rsidRPr="006E037A" w:rsidRDefault="00630FF1" w:rsidP="00630FF1">
      <w:pPr>
        <w:pStyle w:val="ListParagraph"/>
        <w:numPr>
          <w:ilvl w:val="0"/>
          <w:numId w:val="1"/>
        </w:numPr>
        <w:spacing w:line="360" w:lineRule="auto"/>
        <w:rPr>
          <w:b/>
        </w:rPr>
      </w:pPr>
      <w:r w:rsidRPr="006E037A">
        <w:rPr>
          <w:b/>
        </w:rPr>
        <w:t>Profil Perusahaan</w:t>
      </w:r>
    </w:p>
    <w:p w:rsidR="00630FF1" w:rsidRPr="006E037A" w:rsidRDefault="006E037A" w:rsidP="00630FF1">
      <w:pPr>
        <w:spacing w:line="360" w:lineRule="auto"/>
        <w:ind w:left="360"/>
        <w:rPr>
          <w:rFonts w:cs="Times New Roman"/>
          <w:b/>
        </w:rPr>
      </w:pPr>
      <w:r>
        <w:rPr>
          <w:rStyle w:val="Strong"/>
          <w:rFonts w:cs="Times New Roman"/>
          <w:b w:val="0"/>
          <w:color w:val="000000"/>
        </w:rPr>
        <w:t>Peresmian d</w:t>
      </w:r>
      <w:r w:rsidRPr="006E037A">
        <w:rPr>
          <w:rStyle w:val="Strong"/>
          <w:rFonts w:cs="Times New Roman"/>
          <w:b w:val="0"/>
          <w:color w:val="000000"/>
        </w:rPr>
        <w:t>an Pergeseran Kepemilikan</w:t>
      </w:r>
    </w:p>
    <w:p w:rsidR="00630FF1" w:rsidRPr="00630FF1" w:rsidRDefault="00630FF1" w:rsidP="00630FF1">
      <w:pPr>
        <w:pStyle w:val="NormalWeb"/>
        <w:shd w:val="clear" w:color="auto" w:fill="FFFFFF"/>
        <w:spacing w:before="0" w:beforeAutospacing="0" w:after="225" w:afterAutospacing="0" w:line="360" w:lineRule="auto"/>
        <w:ind w:left="360" w:firstLine="360"/>
        <w:jc w:val="both"/>
        <w:rPr>
          <w:color w:val="222222"/>
        </w:rPr>
      </w:pPr>
      <w:r w:rsidRPr="00630FF1">
        <w:rPr>
          <w:color w:val="222222"/>
        </w:rPr>
        <w:t>Perusahaan diresmikan di Gresik pada tanggal 7 Agustus1957 oleh Presiden RI pertama dengan kapasitas terpasang 250.000 ton semen per tahun, dan di tahun 2014 kapasitas terpasang mencapai 31,8 juta ton/tahun.</w:t>
      </w:r>
    </w:p>
    <w:p w:rsidR="00630FF1" w:rsidRPr="00630FF1" w:rsidRDefault="00630FF1" w:rsidP="00630FF1">
      <w:pPr>
        <w:pStyle w:val="NormalWeb"/>
        <w:shd w:val="clear" w:color="auto" w:fill="FFFFFF"/>
        <w:spacing w:before="0" w:beforeAutospacing="0" w:after="225" w:afterAutospacing="0" w:line="360" w:lineRule="auto"/>
        <w:ind w:left="360" w:firstLine="360"/>
        <w:jc w:val="both"/>
        <w:rPr>
          <w:color w:val="222222"/>
        </w:rPr>
      </w:pPr>
      <w:r w:rsidRPr="00630FF1">
        <w:rPr>
          <w:color w:val="222222"/>
        </w:rPr>
        <w:t>Pada tanggal 8 Juli 1991 saham Perseroan tercatat di Bursa Efek Jakarta dan Bursa EfekSurabaya (kini menjadi Bursa Efek Indonesia) serta merupakan BUMN pertama yang</w:t>
      </w:r>
      <w:r w:rsidRPr="00630FF1">
        <w:rPr>
          <w:rStyle w:val="apple-converted-space"/>
          <w:color w:val="222222"/>
        </w:rPr>
        <w:t> </w:t>
      </w:r>
      <w:r w:rsidRPr="00630FF1">
        <w:rPr>
          <w:rStyle w:val="Emphasis"/>
          <w:color w:val="222222"/>
        </w:rPr>
        <w:t>go public</w:t>
      </w:r>
      <w:r w:rsidRPr="00630FF1">
        <w:rPr>
          <w:rStyle w:val="apple-converted-space"/>
          <w:i/>
          <w:iCs/>
          <w:color w:val="222222"/>
        </w:rPr>
        <w:t> </w:t>
      </w:r>
      <w:r w:rsidRPr="00630FF1">
        <w:rPr>
          <w:color w:val="222222"/>
        </w:rPr>
        <w:t>dengan menjual 40 juta lembar saham kepada masyarakat. Komposisi pemegang saham pada saat itu: Negara RI 73% dan masyarakat 27%.</w:t>
      </w:r>
    </w:p>
    <w:p w:rsidR="00630FF1" w:rsidRDefault="00630FF1" w:rsidP="00630FF1">
      <w:pPr>
        <w:pStyle w:val="NormalWeb"/>
        <w:shd w:val="clear" w:color="auto" w:fill="FFFFFF"/>
        <w:spacing w:before="0" w:beforeAutospacing="0" w:after="225" w:afterAutospacing="0" w:line="360" w:lineRule="auto"/>
        <w:ind w:left="360" w:firstLine="360"/>
        <w:jc w:val="both"/>
        <w:rPr>
          <w:color w:val="222222"/>
        </w:rPr>
      </w:pPr>
      <w:r w:rsidRPr="00630FF1">
        <w:rPr>
          <w:color w:val="222222"/>
        </w:rPr>
        <w:t>Pada bulan September 1995, Perseroan melakukan Penawaran Umum Terbatas I</w:t>
      </w:r>
      <w:r w:rsidRPr="00630FF1">
        <w:rPr>
          <w:rStyle w:val="apple-converted-space"/>
          <w:color w:val="222222"/>
        </w:rPr>
        <w:t> </w:t>
      </w:r>
      <w:r w:rsidRPr="00630FF1">
        <w:rPr>
          <w:rStyle w:val="Emphasis"/>
          <w:color w:val="222222"/>
        </w:rPr>
        <w:t>(Right Issue I</w:t>
      </w:r>
      <w:r w:rsidRPr="00630FF1">
        <w:rPr>
          <w:color w:val="222222"/>
        </w:rPr>
        <w:t>), yang mengubah komposisi kepemilikan saham menjadi Negara RI 65% dan masyarakat 35%. Pada tanggal 15 September 1995 PT Semen Gresik berkonsolidasi dengan PT Semen Padang dan PT Semen Tonasa.Total kapasitas terpasang Perseroan saat itu sebesar 8,5 juta ton semen per tahun.</w:t>
      </w:r>
    </w:p>
    <w:p w:rsidR="00630FF1" w:rsidRPr="00630FF1" w:rsidRDefault="00630FF1" w:rsidP="00630FF1">
      <w:pPr>
        <w:pStyle w:val="NormalWeb"/>
        <w:shd w:val="clear" w:color="auto" w:fill="FFFFFF"/>
        <w:spacing w:before="0" w:beforeAutospacing="0" w:after="225" w:afterAutospacing="0" w:line="360" w:lineRule="auto"/>
        <w:ind w:left="360" w:firstLine="360"/>
        <w:jc w:val="both"/>
        <w:rPr>
          <w:color w:val="222222"/>
        </w:rPr>
      </w:pPr>
      <w:r w:rsidRPr="00630FF1">
        <w:rPr>
          <w:color w:val="222222"/>
        </w:rPr>
        <w:t>Pada tanggal 17 September 1998, Negara RI melepas kepemilikan sahamnya di Perseroan sebesar 14% melalui penawaran terbuka yang dimenangkan oleh Cemex S. A. de C. V., perusahaan semen global yang berpusat di Meksiko. Komposisi kepemilikan saham berubah menjadi Negara RI 51%, masyarakat 35%, dan Cemex 14%. Kemudian tanggal 30 September 1999 komposisi kepemilikan saham berubah menjadi: Pemerintah Republik Indonesia 51</w:t>
      </w:r>
      <w:proofErr w:type="gramStart"/>
      <w:r w:rsidRPr="00630FF1">
        <w:rPr>
          <w:color w:val="222222"/>
        </w:rPr>
        <w:t>,0</w:t>
      </w:r>
      <w:proofErr w:type="gramEnd"/>
      <w:r w:rsidRPr="00630FF1">
        <w:rPr>
          <w:color w:val="222222"/>
        </w:rPr>
        <w:t>%, masyarakat 23,4% dan Cemex 25,5%.</w:t>
      </w:r>
    </w:p>
    <w:p w:rsidR="00630FF1" w:rsidRPr="00630FF1" w:rsidRDefault="00630FF1" w:rsidP="00630FF1">
      <w:pPr>
        <w:pStyle w:val="NormalWeb"/>
        <w:shd w:val="clear" w:color="auto" w:fill="FFFFFF"/>
        <w:spacing w:before="0" w:beforeAutospacing="0" w:after="225" w:afterAutospacing="0" w:line="360" w:lineRule="auto"/>
        <w:ind w:left="360" w:firstLine="360"/>
        <w:jc w:val="both"/>
        <w:rPr>
          <w:color w:val="222222"/>
        </w:rPr>
      </w:pPr>
      <w:r w:rsidRPr="00630FF1">
        <w:rPr>
          <w:color w:val="222222"/>
        </w:rPr>
        <w:t xml:space="preserve">Pada tanggal 27 Juli 2006 terjadi transaksi penjualan saham Cemex Asia Holdings Ltd. kepadaBlue Valley Holdings PTE Ltd. sehingga komposisi kepemilikan saham berubah menjadi Negara RI 51,0% Blue Valley Holdings PTE Ltd. 24,9%, dan masyarakat 24,0%. Pada akhir Maret 2010, Blue Valley Holdings PTELtd, menjual seluruh sahamnya </w:t>
      </w:r>
      <w:r w:rsidRPr="00630FF1">
        <w:rPr>
          <w:color w:val="222222"/>
        </w:rPr>
        <w:lastRenderedPageBreak/>
        <w:t>melalui</w:t>
      </w:r>
      <w:r w:rsidRPr="00630FF1">
        <w:rPr>
          <w:rStyle w:val="apple-converted-space"/>
          <w:color w:val="222222"/>
        </w:rPr>
        <w:t> </w:t>
      </w:r>
      <w:r w:rsidRPr="00630FF1">
        <w:rPr>
          <w:rStyle w:val="Emphasis"/>
          <w:color w:val="222222"/>
        </w:rPr>
        <w:t>private placement</w:t>
      </w:r>
      <w:r w:rsidRPr="00630FF1">
        <w:rPr>
          <w:color w:val="222222"/>
        </w:rPr>
        <w:t>, sehingga komposisi pemegang saham Perseroan berubah menjadi Pemerintah 51,0% dan publik 48,9%.</w:t>
      </w:r>
    </w:p>
    <w:p w:rsidR="00630FF1" w:rsidRPr="006E037A" w:rsidRDefault="006E037A" w:rsidP="006E037A">
      <w:pPr>
        <w:pStyle w:val="ListParagraph"/>
        <w:numPr>
          <w:ilvl w:val="0"/>
          <w:numId w:val="1"/>
        </w:numPr>
        <w:spacing w:line="360" w:lineRule="auto"/>
        <w:rPr>
          <w:rFonts w:cs="Times New Roman"/>
          <w:b/>
        </w:rPr>
      </w:pPr>
      <w:r w:rsidRPr="006E037A">
        <w:rPr>
          <w:rFonts w:cs="Times New Roman"/>
          <w:b/>
        </w:rPr>
        <w:t>Visi dan Misi</w:t>
      </w:r>
    </w:p>
    <w:p w:rsidR="006E037A" w:rsidRPr="006E037A" w:rsidRDefault="006E037A" w:rsidP="006E037A">
      <w:pPr>
        <w:pStyle w:val="NormalWeb"/>
        <w:shd w:val="clear" w:color="auto" w:fill="FFFFFF"/>
        <w:spacing w:before="0" w:beforeAutospacing="0" w:after="225" w:afterAutospacing="0" w:line="360" w:lineRule="auto"/>
        <w:ind w:left="360"/>
        <w:jc w:val="both"/>
        <w:rPr>
          <w:color w:val="222222"/>
        </w:rPr>
      </w:pPr>
      <w:r w:rsidRPr="006E037A">
        <w:rPr>
          <w:rStyle w:val="Strong"/>
          <w:b w:val="0"/>
          <w:color w:val="000000"/>
        </w:rPr>
        <w:t>VISI</w:t>
      </w:r>
    </w:p>
    <w:p w:rsidR="006E037A" w:rsidRPr="006E037A" w:rsidRDefault="006E037A" w:rsidP="006E037A">
      <w:pPr>
        <w:pStyle w:val="NormalWeb"/>
        <w:shd w:val="clear" w:color="auto" w:fill="FFFFFF"/>
        <w:spacing w:before="0" w:beforeAutospacing="0" w:after="225" w:afterAutospacing="0" w:line="360" w:lineRule="auto"/>
        <w:ind w:left="360"/>
        <w:jc w:val="both"/>
        <w:rPr>
          <w:color w:val="222222"/>
        </w:rPr>
      </w:pPr>
      <w:r w:rsidRPr="006E037A">
        <w:rPr>
          <w:color w:val="222222"/>
        </w:rPr>
        <w:t>Menjadi Perusahaan Persemenan Internasional Yang Terkemuka Di Asia Tenggara</w:t>
      </w:r>
    </w:p>
    <w:p w:rsidR="006E037A" w:rsidRPr="006E037A" w:rsidRDefault="006E037A" w:rsidP="006E037A">
      <w:pPr>
        <w:pStyle w:val="NormalWeb"/>
        <w:shd w:val="clear" w:color="auto" w:fill="FFFFFF"/>
        <w:spacing w:before="0" w:beforeAutospacing="0" w:after="225" w:afterAutospacing="0" w:line="360" w:lineRule="auto"/>
        <w:ind w:left="360"/>
        <w:jc w:val="both"/>
        <w:rPr>
          <w:color w:val="222222"/>
        </w:rPr>
      </w:pPr>
      <w:r w:rsidRPr="006E037A">
        <w:rPr>
          <w:rStyle w:val="Strong"/>
          <w:b w:val="0"/>
          <w:color w:val="000000"/>
        </w:rPr>
        <w:t>MISI</w:t>
      </w:r>
    </w:p>
    <w:p w:rsidR="006E037A" w:rsidRPr="006E037A" w:rsidRDefault="006E037A" w:rsidP="006E037A">
      <w:pPr>
        <w:pStyle w:val="NormalWeb"/>
        <w:numPr>
          <w:ilvl w:val="0"/>
          <w:numId w:val="2"/>
        </w:numPr>
        <w:shd w:val="clear" w:color="auto" w:fill="FFFFFF"/>
        <w:spacing w:before="0" w:beforeAutospacing="0" w:after="225" w:afterAutospacing="0" w:line="360" w:lineRule="auto"/>
        <w:ind w:left="360"/>
        <w:jc w:val="both"/>
        <w:rPr>
          <w:color w:val="222222"/>
        </w:rPr>
      </w:pPr>
      <w:r w:rsidRPr="006E037A">
        <w:rPr>
          <w:color w:val="222222"/>
        </w:rPr>
        <w:t>Mengembangkan usaha persemenan dan industri terkait yang berorientasikan kepuasan konsumen.</w:t>
      </w:r>
    </w:p>
    <w:p w:rsidR="006E037A" w:rsidRPr="006E037A" w:rsidRDefault="006E037A" w:rsidP="006E037A">
      <w:pPr>
        <w:pStyle w:val="NormalWeb"/>
        <w:numPr>
          <w:ilvl w:val="0"/>
          <w:numId w:val="2"/>
        </w:numPr>
        <w:shd w:val="clear" w:color="auto" w:fill="FFFFFF"/>
        <w:spacing w:before="0" w:beforeAutospacing="0" w:after="225" w:afterAutospacing="0" w:line="360" w:lineRule="auto"/>
        <w:ind w:left="360"/>
        <w:jc w:val="both"/>
        <w:rPr>
          <w:color w:val="222222"/>
        </w:rPr>
      </w:pPr>
      <w:r w:rsidRPr="006E037A">
        <w:rPr>
          <w:color w:val="222222"/>
        </w:rPr>
        <w:t>Mewujudkan perusahaan berstandar internasional dengan keunggulan daya saing dan sinergi untuk meningkatkan nilai tambah secara berkesinambungan.</w:t>
      </w:r>
    </w:p>
    <w:p w:rsidR="006E037A" w:rsidRPr="006E037A" w:rsidRDefault="006E037A" w:rsidP="006E037A">
      <w:pPr>
        <w:pStyle w:val="NormalWeb"/>
        <w:numPr>
          <w:ilvl w:val="0"/>
          <w:numId w:val="2"/>
        </w:numPr>
        <w:shd w:val="clear" w:color="auto" w:fill="FFFFFF"/>
        <w:spacing w:before="0" w:beforeAutospacing="0" w:after="225" w:afterAutospacing="0" w:line="360" w:lineRule="auto"/>
        <w:ind w:left="360"/>
        <w:jc w:val="both"/>
        <w:rPr>
          <w:color w:val="222222"/>
        </w:rPr>
      </w:pPr>
      <w:r w:rsidRPr="006E037A">
        <w:rPr>
          <w:color w:val="222222"/>
        </w:rPr>
        <w:t>Mewujudkan tanggung jawab sosial serta ramah lingkungan.</w:t>
      </w:r>
    </w:p>
    <w:p w:rsidR="006E037A" w:rsidRPr="006E037A" w:rsidRDefault="006E037A" w:rsidP="006E037A">
      <w:pPr>
        <w:pStyle w:val="NormalWeb"/>
        <w:numPr>
          <w:ilvl w:val="0"/>
          <w:numId w:val="2"/>
        </w:numPr>
        <w:shd w:val="clear" w:color="auto" w:fill="FFFFFF"/>
        <w:spacing w:before="0" w:beforeAutospacing="0" w:after="225" w:afterAutospacing="0" w:line="360" w:lineRule="auto"/>
        <w:ind w:left="360"/>
        <w:jc w:val="both"/>
        <w:rPr>
          <w:color w:val="222222"/>
        </w:rPr>
      </w:pPr>
      <w:r w:rsidRPr="006E037A">
        <w:rPr>
          <w:color w:val="222222"/>
        </w:rPr>
        <w:t>Memberikan nilai terbaik kepada para pemangku kepentingan (</w:t>
      </w:r>
      <w:r w:rsidRPr="006E037A">
        <w:rPr>
          <w:rStyle w:val="Emphasis"/>
          <w:color w:val="222222"/>
        </w:rPr>
        <w:t>stakeholders</w:t>
      </w:r>
      <w:r w:rsidRPr="006E037A">
        <w:rPr>
          <w:color w:val="222222"/>
        </w:rPr>
        <w:t>).</w:t>
      </w:r>
    </w:p>
    <w:p w:rsidR="006E037A" w:rsidRDefault="006E037A" w:rsidP="006E037A">
      <w:pPr>
        <w:pStyle w:val="NormalWeb"/>
        <w:numPr>
          <w:ilvl w:val="0"/>
          <w:numId w:val="2"/>
        </w:numPr>
        <w:shd w:val="clear" w:color="auto" w:fill="FFFFFF"/>
        <w:spacing w:before="0" w:beforeAutospacing="0" w:after="225" w:afterAutospacing="0" w:line="360" w:lineRule="auto"/>
        <w:ind w:left="360"/>
        <w:jc w:val="both"/>
        <w:rPr>
          <w:color w:val="222222"/>
        </w:rPr>
      </w:pPr>
      <w:r w:rsidRPr="006E037A">
        <w:rPr>
          <w:color w:val="222222"/>
        </w:rPr>
        <w:t>Membangun kompetensi melalui pengembangan sumber daya manusia.</w:t>
      </w:r>
    </w:p>
    <w:p w:rsidR="006E037A" w:rsidRPr="006E037A" w:rsidRDefault="006E037A" w:rsidP="00F7639B">
      <w:pPr>
        <w:pStyle w:val="NormalWeb"/>
        <w:shd w:val="clear" w:color="auto" w:fill="FFFFFF"/>
        <w:spacing w:before="0" w:beforeAutospacing="0" w:after="225" w:afterAutospacing="0" w:line="360" w:lineRule="auto"/>
        <w:ind w:left="360"/>
        <w:jc w:val="both"/>
        <w:rPr>
          <w:color w:val="222222"/>
        </w:rPr>
      </w:pPr>
    </w:p>
    <w:p w:rsidR="006E037A" w:rsidRPr="006E037A" w:rsidRDefault="006E037A" w:rsidP="006E037A">
      <w:pPr>
        <w:pStyle w:val="ListParagraph"/>
        <w:numPr>
          <w:ilvl w:val="0"/>
          <w:numId w:val="1"/>
        </w:numPr>
        <w:shd w:val="clear" w:color="auto" w:fill="FFFFFF"/>
        <w:spacing w:before="210" w:after="210" w:line="240" w:lineRule="auto"/>
        <w:outlineLvl w:val="3"/>
        <w:rPr>
          <w:rFonts w:eastAsia="Times New Roman" w:cs="Times New Roman"/>
          <w:b/>
          <w:bCs/>
          <w:color w:val="222222"/>
          <w:szCs w:val="24"/>
        </w:rPr>
      </w:pPr>
      <w:r w:rsidRPr="006E037A">
        <w:rPr>
          <w:rFonts w:eastAsia="Times New Roman" w:cs="Times New Roman"/>
          <w:b/>
          <w:bCs/>
          <w:color w:val="222222"/>
          <w:szCs w:val="24"/>
        </w:rPr>
        <w:t>Roadmap</w:t>
      </w:r>
    </w:p>
    <w:p w:rsidR="006E037A" w:rsidRPr="006E037A" w:rsidRDefault="000C3343" w:rsidP="00F7639B">
      <w:pPr>
        <w:shd w:val="clear" w:color="auto" w:fill="FFFFFF"/>
        <w:spacing w:after="225" w:line="240" w:lineRule="auto"/>
        <w:ind w:left="360"/>
        <w:jc w:val="both"/>
        <w:rPr>
          <w:rFonts w:eastAsia="Times New Roman" w:cs="Times New Roman"/>
          <w:color w:val="222222"/>
          <w:szCs w:val="24"/>
        </w:rPr>
      </w:pPr>
      <w:r w:rsidRPr="00F7639B">
        <w:rPr>
          <w:rFonts w:eastAsia="Times New Roman" w:cs="Times New Roman"/>
          <w:bCs/>
          <w:color w:val="000000"/>
          <w:szCs w:val="24"/>
        </w:rPr>
        <w:t>Roadmap Pene</w:t>
      </w:r>
      <w:bookmarkStart w:id="0" w:name="_GoBack"/>
      <w:bookmarkEnd w:id="0"/>
      <w:r w:rsidRPr="00F7639B">
        <w:rPr>
          <w:rFonts w:eastAsia="Times New Roman" w:cs="Times New Roman"/>
          <w:bCs/>
          <w:color w:val="000000"/>
          <w:szCs w:val="24"/>
        </w:rPr>
        <w:t xml:space="preserve">rapan </w:t>
      </w:r>
      <w:r w:rsidR="006E037A" w:rsidRPr="00F7639B">
        <w:rPr>
          <w:rFonts w:eastAsia="Times New Roman" w:cs="Times New Roman"/>
          <w:bCs/>
          <w:color w:val="000000"/>
          <w:szCs w:val="24"/>
        </w:rPr>
        <w:t>GCG</w:t>
      </w:r>
    </w:p>
    <w:p w:rsidR="006E037A" w:rsidRPr="006E037A" w:rsidRDefault="006E037A" w:rsidP="00F7639B">
      <w:pPr>
        <w:shd w:val="clear" w:color="auto" w:fill="FFFFFF"/>
        <w:spacing w:after="225" w:line="240" w:lineRule="auto"/>
        <w:ind w:left="360" w:firstLine="360"/>
        <w:jc w:val="both"/>
        <w:rPr>
          <w:rFonts w:eastAsia="Times New Roman" w:cs="Times New Roman"/>
          <w:color w:val="222222"/>
          <w:szCs w:val="24"/>
        </w:rPr>
      </w:pPr>
      <w:r w:rsidRPr="006E037A">
        <w:rPr>
          <w:rFonts w:eastAsia="Times New Roman" w:cs="Times New Roman"/>
          <w:color w:val="222222"/>
          <w:szCs w:val="24"/>
        </w:rPr>
        <w:t>Tujuan dan sasaran awal </w:t>
      </w:r>
      <w:r w:rsidRPr="006E037A">
        <w:rPr>
          <w:rFonts w:eastAsia="Times New Roman" w:cs="Times New Roman"/>
          <w:i/>
          <w:iCs/>
          <w:color w:val="222222"/>
          <w:szCs w:val="24"/>
        </w:rPr>
        <w:t>roadmap</w:t>
      </w:r>
      <w:r w:rsidRPr="006E037A">
        <w:rPr>
          <w:rFonts w:eastAsia="Times New Roman" w:cs="Times New Roman"/>
          <w:color w:val="222222"/>
          <w:szCs w:val="24"/>
        </w:rPr>
        <w:t> penerapan GCG Perseroan adalah menumbuhkan komitmen manajemen dalam menerapkan GCG dan senantiasa diikuti langkah penyempurnaan dan konsistensi penerapannya. Penyempurnaan </w:t>
      </w:r>
      <w:r w:rsidRPr="006E037A">
        <w:rPr>
          <w:rFonts w:eastAsia="Times New Roman" w:cs="Times New Roman"/>
          <w:i/>
          <w:iCs/>
          <w:color w:val="222222"/>
          <w:szCs w:val="24"/>
        </w:rPr>
        <w:t>soft structure</w:t>
      </w:r>
      <w:r w:rsidRPr="006E037A">
        <w:rPr>
          <w:rFonts w:eastAsia="Times New Roman" w:cs="Times New Roman"/>
          <w:color w:val="222222"/>
          <w:szCs w:val="24"/>
        </w:rPr>
        <w:t> bertujuan melengkapi kebijakan pendukung, selain meningkatkan tanggung jawab dalam menjaga segenap kepentingan</w:t>
      </w:r>
      <w:r w:rsidRPr="006E037A">
        <w:rPr>
          <w:rFonts w:eastAsia="Times New Roman" w:cs="Times New Roman"/>
          <w:i/>
          <w:iCs/>
          <w:color w:val="222222"/>
          <w:szCs w:val="24"/>
        </w:rPr>
        <w:t>stakeholders</w:t>
      </w:r>
      <w:r w:rsidRPr="006E037A">
        <w:rPr>
          <w:rFonts w:eastAsia="Times New Roman" w:cs="Times New Roman"/>
          <w:color w:val="222222"/>
          <w:szCs w:val="24"/>
        </w:rPr>
        <w:t>. Sedangkan </w:t>
      </w:r>
      <w:r w:rsidRPr="006E037A">
        <w:rPr>
          <w:rFonts w:eastAsia="Times New Roman" w:cs="Times New Roman"/>
          <w:i/>
          <w:iCs/>
          <w:color w:val="222222"/>
          <w:szCs w:val="24"/>
        </w:rPr>
        <w:t>infrastructure</w:t>
      </w:r>
      <w:r w:rsidRPr="006E037A">
        <w:rPr>
          <w:rFonts w:eastAsia="Times New Roman" w:cs="Times New Roman"/>
          <w:color w:val="222222"/>
          <w:szCs w:val="24"/>
        </w:rPr>
        <w:t> GCG dilengkapi dengan melakukan penyempurnaan organisasi yang diperlukan.</w:t>
      </w:r>
    </w:p>
    <w:p w:rsidR="006E037A" w:rsidRPr="006E037A" w:rsidRDefault="006E037A" w:rsidP="00F7639B">
      <w:pPr>
        <w:shd w:val="clear" w:color="auto" w:fill="FFFFFF"/>
        <w:spacing w:after="225" w:line="240" w:lineRule="auto"/>
        <w:ind w:left="360" w:firstLine="360"/>
        <w:rPr>
          <w:rFonts w:eastAsia="Times New Roman" w:cs="Times New Roman"/>
          <w:color w:val="222222"/>
          <w:szCs w:val="24"/>
        </w:rPr>
      </w:pPr>
      <w:r w:rsidRPr="006E037A">
        <w:rPr>
          <w:rFonts w:eastAsia="Times New Roman" w:cs="Times New Roman"/>
          <w:color w:val="222222"/>
          <w:szCs w:val="24"/>
        </w:rPr>
        <w:t>Perseroan telah menetapkan gambaran tahapan penerapan GCG Perseroan dengan tujuan menjadi perusahaan yang beretika dan bertanggung jawab, dengan menjadikan praktik tata kelola yang baik sebagai budaya dalam pengelolaan perusahaan, sebagai berikut:</w:t>
      </w:r>
    </w:p>
    <w:p w:rsidR="006E037A" w:rsidRPr="006E037A" w:rsidRDefault="006E037A" w:rsidP="00F7639B">
      <w:pPr>
        <w:shd w:val="clear" w:color="auto" w:fill="FFFFFF"/>
        <w:spacing w:after="225" w:line="240" w:lineRule="auto"/>
        <w:ind w:left="360"/>
        <w:jc w:val="both"/>
        <w:rPr>
          <w:rFonts w:eastAsia="Times New Roman" w:cs="Times New Roman"/>
          <w:color w:val="222222"/>
          <w:szCs w:val="24"/>
        </w:rPr>
      </w:pPr>
      <w:r w:rsidRPr="006E037A">
        <w:rPr>
          <w:rFonts w:eastAsia="Times New Roman" w:cs="Times New Roman"/>
          <w:noProof/>
          <w:color w:val="222222"/>
          <w:szCs w:val="24"/>
        </w:rPr>
        <w:lastRenderedPageBreak/>
        <w:drawing>
          <wp:inline distT="0" distB="0" distL="0" distR="0">
            <wp:extent cx="5229225" cy="4333875"/>
            <wp:effectExtent l="0" t="0" r="0" b="0"/>
            <wp:docPr id="1" name="Picture 1" descr="D:\BAGUS'S FILE\dataUNY\MNGMNT\SEM 6\MSDM Stratejik\akhir\Roadmap _ Semen Indonesia_files\Roa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GUS'S FILE\dataUNY\MNGMNT\SEM 6\MSDM Stratejik\akhir\Roadmap _ Semen Indonesia_files\Roadmap.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29225" cy="4333875"/>
                    </a:xfrm>
                    <a:prstGeom prst="rect">
                      <a:avLst/>
                    </a:prstGeom>
                    <a:noFill/>
                    <a:ln>
                      <a:noFill/>
                    </a:ln>
                  </pic:spPr>
                </pic:pic>
              </a:graphicData>
            </a:graphic>
          </wp:inline>
        </w:drawing>
      </w:r>
    </w:p>
    <w:p w:rsidR="006E037A" w:rsidRPr="00F7639B" w:rsidRDefault="006E037A" w:rsidP="00F7639B">
      <w:pPr>
        <w:shd w:val="clear" w:color="auto" w:fill="FFFFFF"/>
        <w:spacing w:after="225" w:line="240" w:lineRule="auto"/>
        <w:ind w:left="360"/>
        <w:jc w:val="both"/>
        <w:rPr>
          <w:rFonts w:eastAsia="Times New Roman" w:cs="Times New Roman"/>
          <w:color w:val="222222"/>
          <w:szCs w:val="24"/>
        </w:rPr>
      </w:pPr>
      <w:r w:rsidRPr="00F7639B">
        <w:rPr>
          <w:rFonts w:eastAsia="Times New Roman" w:cs="Times New Roman"/>
          <w:bCs/>
          <w:color w:val="000000"/>
          <w:szCs w:val="24"/>
        </w:rPr>
        <w:t>Rencana Peningkatan Praktik GCG</w:t>
      </w:r>
    </w:p>
    <w:p w:rsidR="006E037A" w:rsidRPr="006E037A" w:rsidRDefault="006E037A" w:rsidP="00F7639B">
      <w:pPr>
        <w:shd w:val="clear" w:color="auto" w:fill="FFFFFF"/>
        <w:spacing w:after="225" w:line="240" w:lineRule="auto"/>
        <w:ind w:left="360" w:firstLine="360"/>
        <w:jc w:val="both"/>
        <w:rPr>
          <w:rFonts w:eastAsia="Times New Roman" w:cs="Times New Roman"/>
          <w:b/>
          <w:bCs/>
          <w:color w:val="000000"/>
          <w:szCs w:val="24"/>
        </w:rPr>
      </w:pPr>
      <w:r w:rsidRPr="006E037A">
        <w:rPr>
          <w:rFonts w:eastAsia="Times New Roman" w:cs="Times New Roman"/>
          <w:color w:val="222222"/>
          <w:szCs w:val="24"/>
        </w:rPr>
        <w:t>Sebagai tindak lanjut dan komitmen tinggi atas berkesinambungannya peningkatan praktik GCG pada seluruh level operasional, sejalan dengan transformasi korporasi yang telah dilakukan, Perseroan merencanakan beberapa kegiatan penting terkait praktik GCG. Kegiatan dimaksud mencakup diantaranya:</w:t>
      </w:r>
    </w:p>
    <w:p w:rsidR="006E037A" w:rsidRPr="006E037A" w:rsidRDefault="006E037A" w:rsidP="00F7639B">
      <w:pPr>
        <w:shd w:val="clear" w:color="auto" w:fill="FFFFFF"/>
        <w:spacing w:after="225" w:line="240" w:lineRule="auto"/>
        <w:ind w:left="360"/>
        <w:jc w:val="both"/>
        <w:rPr>
          <w:rFonts w:eastAsia="Times New Roman" w:cs="Times New Roman"/>
          <w:color w:val="222222"/>
          <w:szCs w:val="24"/>
        </w:rPr>
      </w:pPr>
      <w:r w:rsidRPr="006E037A">
        <w:rPr>
          <w:rFonts w:eastAsia="Times New Roman" w:cs="Times New Roman"/>
          <w:color w:val="222222"/>
          <w:szCs w:val="24"/>
        </w:rPr>
        <w:t xml:space="preserve">1. Turut serta dalam program BUMN Bersih, sesuai dengan </w:t>
      </w:r>
      <w:proofErr w:type="gramStart"/>
      <w:r w:rsidRPr="006E037A">
        <w:rPr>
          <w:rFonts w:eastAsia="Times New Roman" w:cs="Times New Roman"/>
          <w:color w:val="222222"/>
          <w:szCs w:val="24"/>
        </w:rPr>
        <w:t>surat</w:t>
      </w:r>
      <w:proofErr w:type="gramEnd"/>
      <w:r w:rsidRPr="006E037A">
        <w:rPr>
          <w:rFonts w:eastAsia="Times New Roman" w:cs="Times New Roman"/>
          <w:color w:val="222222"/>
          <w:szCs w:val="24"/>
        </w:rPr>
        <w:t xml:space="preserve"> edaran Menteri BUMN nomor SE-05/MBU/2013 tentang Roadmap Menuju BUMN Bersih. Bukti partisipasi Perseroan dalam program BUMN Bersih tercantum dalam lampiran </w:t>
      </w:r>
      <w:proofErr w:type="gramStart"/>
      <w:r w:rsidRPr="006E037A">
        <w:rPr>
          <w:rFonts w:eastAsia="Times New Roman" w:cs="Times New Roman"/>
          <w:color w:val="222222"/>
          <w:szCs w:val="24"/>
        </w:rPr>
        <w:t>surat</w:t>
      </w:r>
      <w:proofErr w:type="gramEnd"/>
      <w:r w:rsidRPr="006E037A">
        <w:rPr>
          <w:rFonts w:eastAsia="Times New Roman" w:cs="Times New Roman"/>
          <w:color w:val="222222"/>
          <w:szCs w:val="24"/>
        </w:rPr>
        <w:t xml:space="preserve"> nomor S-684/MBU/2013 tentang Persiapan Survei BUMN Bersih.</w:t>
      </w:r>
    </w:p>
    <w:p w:rsidR="006E037A" w:rsidRPr="006E037A" w:rsidRDefault="006E037A" w:rsidP="00F7639B">
      <w:pPr>
        <w:shd w:val="clear" w:color="auto" w:fill="FFFFFF"/>
        <w:spacing w:after="225" w:line="240" w:lineRule="auto"/>
        <w:ind w:left="360" w:firstLine="360"/>
        <w:jc w:val="both"/>
        <w:rPr>
          <w:rFonts w:eastAsia="Times New Roman" w:cs="Times New Roman"/>
          <w:color w:val="222222"/>
          <w:szCs w:val="24"/>
        </w:rPr>
      </w:pPr>
      <w:r w:rsidRPr="006E037A">
        <w:rPr>
          <w:rFonts w:eastAsia="Times New Roman" w:cs="Times New Roman"/>
          <w:color w:val="222222"/>
          <w:szCs w:val="24"/>
        </w:rPr>
        <w:t xml:space="preserve">Hingga saat ini, Perseroan telah mempersiapkan tahapan survey BUMN Bersih yang </w:t>
      </w:r>
      <w:proofErr w:type="gramStart"/>
      <w:r w:rsidRPr="006E037A">
        <w:rPr>
          <w:rFonts w:eastAsia="Times New Roman" w:cs="Times New Roman"/>
          <w:color w:val="222222"/>
          <w:szCs w:val="24"/>
        </w:rPr>
        <w:t>akan</w:t>
      </w:r>
      <w:proofErr w:type="gramEnd"/>
      <w:r w:rsidRPr="006E037A">
        <w:rPr>
          <w:rFonts w:eastAsia="Times New Roman" w:cs="Times New Roman"/>
          <w:color w:val="222222"/>
          <w:szCs w:val="24"/>
        </w:rPr>
        <w:t xml:space="preserve"> dilakukan pada tahun 2014 sebagai berikut:</w:t>
      </w:r>
    </w:p>
    <w:p w:rsidR="006E037A" w:rsidRPr="006E037A" w:rsidRDefault="006E037A" w:rsidP="00F7639B">
      <w:pPr>
        <w:numPr>
          <w:ilvl w:val="0"/>
          <w:numId w:val="3"/>
        </w:numPr>
        <w:shd w:val="clear" w:color="auto" w:fill="FFFFFF"/>
        <w:spacing w:after="0" w:line="240" w:lineRule="auto"/>
        <w:jc w:val="both"/>
        <w:rPr>
          <w:rFonts w:eastAsia="Times New Roman" w:cs="Times New Roman"/>
          <w:color w:val="222222"/>
          <w:szCs w:val="24"/>
        </w:rPr>
      </w:pPr>
      <w:r w:rsidRPr="006E037A">
        <w:rPr>
          <w:rFonts w:eastAsia="Times New Roman" w:cs="Times New Roman"/>
          <w:color w:val="222222"/>
          <w:szCs w:val="24"/>
        </w:rPr>
        <w:t xml:space="preserve">Menyiapkan infrastruktur yang diperlukan untuk mendukung kelancaran proses survey BUMN Bersih yang </w:t>
      </w:r>
      <w:proofErr w:type="gramStart"/>
      <w:r w:rsidRPr="006E037A">
        <w:rPr>
          <w:rFonts w:eastAsia="Times New Roman" w:cs="Times New Roman"/>
          <w:color w:val="222222"/>
          <w:szCs w:val="24"/>
        </w:rPr>
        <w:t>akan</w:t>
      </w:r>
      <w:proofErr w:type="gramEnd"/>
      <w:r w:rsidRPr="006E037A">
        <w:rPr>
          <w:rFonts w:eastAsia="Times New Roman" w:cs="Times New Roman"/>
          <w:color w:val="222222"/>
          <w:szCs w:val="24"/>
        </w:rPr>
        <w:t xml:space="preserve"> dilakukan bekerja sama dengan BPKP.</w:t>
      </w:r>
    </w:p>
    <w:p w:rsidR="006E037A" w:rsidRPr="006E037A" w:rsidRDefault="006E037A" w:rsidP="00F7639B">
      <w:pPr>
        <w:numPr>
          <w:ilvl w:val="0"/>
          <w:numId w:val="3"/>
        </w:numPr>
        <w:shd w:val="clear" w:color="auto" w:fill="FFFFFF"/>
        <w:spacing w:after="0" w:line="240" w:lineRule="auto"/>
        <w:jc w:val="both"/>
        <w:rPr>
          <w:rFonts w:eastAsia="Times New Roman" w:cs="Times New Roman"/>
          <w:color w:val="222222"/>
          <w:szCs w:val="24"/>
        </w:rPr>
      </w:pPr>
      <w:r w:rsidRPr="006E037A">
        <w:rPr>
          <w:rFonts w:eastAsia="Times New Roman" w:cs="Times New Roman"/>
          <w:color w:val="222222"/>
          <w:szCs w:val="24"/>
        </w:rPr>
        <w:t xml:space="preserve">Melakukan pengumpulan data yang diperlukan dalam pelaksanaan survey tahap I yang </w:t>
      </w:r>
      <w:proofErr w:type="gramStart"/>
      <w:r w:rsidRPr="006E037A">
        <w:rPr>
          <w:rFonts w:eastAsia="Times New Roman" w:cs="Times New Roman"/>
          <w:color w:val="222222"/>
          <w:szCs w:val="24"/>
        </w:rPr>
        <w:t>akan</w:t>
      </w:r>
      <w:proofErr w:type="gramEnd"/>
      <w:r w:rsidRPr="006E037A">
        <w:rPr>
          <w:rFonts w:eastAsia="Times New Roman" w:cs="Times New Roman"/>
          <w:color w:val="222222"/>
          <w:szCs w:val="24"/>
        </w:rPr>
        <w:t xml:space="preserve"> dilakukan pada Februari 2014.</w:t>
      </w:r>
    </w:p>
    <w:p w:rsidR="006E037A" w:rsidRPr="006E037A" w:rsidRDefault="006E037A" w:rsidP="00F7639B">
      <w:pPr>
        <w:numPr>
          <w:ilvl w:val="0"/>
          <w:numId w:val="3"/>
        </w:numPr>
        <w:shd w:val="clear" w:color="auto" w:fill="FFFFFF"/>
        <w:spacing w:after="0" w:line="240" w:lineRule="auto"/>
        <w:jc w:val="both"/>
        <w:rPr>
          <w:rFonts w:eastAsia="Times New Roman" w:cs="Times New Roman"/>
          <w:color w:val="222222"/>
          <w:szCs w:val="24"/>
        </w:rPr>
      </w:pPr>
      <w:r w:rsidRPr="006E037A">
        <w:rPr>
          <w:rFonts w:eastAsia="Times New Roman" w:cs="Times New Roman"/>
          <w:color w:val="222222"/>
          <w:szCs w:val="24"/>
        </w:rPr>
        <w:t>Melakukan sosialisasi mengenai program BUMN Bersih kepada anak-anak perusahaan, yaitu PT Semen Padang dan PT Semen Tonasa.</w:t>
      </w:r>
    </w:p>
    <w:p w:rsidR="006E037A" w:rsidRPr="006E037A" w:rsidRDefault="006E037A" w:rsidP="00F7639B">
      <w:pPr>
        <w:numPr>
          <w:ilvl w:val="0"/>
          <w:numId w:val="3"/>
        </w:numPr>
        <w:shd w:val="clear" w:color="auto" w:fill="FFFFFF"/>
        <w:spacing w:after="0" w:line="240" w:lineRule="auto"/>
        <w:jc w:val="both"/>
        <w:rPr>
          <w:rFonts w:eastAsia="Times New Roman" w:cs="Times New Roman"/>
          <w:color w:val="222222"/>
          <w:szCs w:val="24"/>
        </w:rPr>
      </w:pPr>
      <w:r w:rsidRPr="006E037A">
        <w:rPr>
          <w:rFonts w:eastAsia="Times New Roman" w:cs="Times New Roman"/>
          <w:color w:val="222222"/>
          <w:szCs w:val="24"/>
        </w:rPr>
        <w:t>Mengisi dokumen aplikasi yang dikirimkan oleh BPKP.</w:t>
      </w:r>
    </w:p>
    <w:p w:rsidR="006E037A" w:rsidRPr="006E037A" w:rsidRDefault="006E037A" w:rsidP="00F7639B">
      <w:pPr>
        <w:shd w:val="clear" w:color="auto" w:fill="FFFFFF"/>
        <w:spacing w:after="225" w:line="240" w:lineRule="auto"/>
        <w:ind w:left="720"/>
        <w:jc w:val="both"/>
        <w:rPr>
          <w:rFonts w:eastAsia="Times New Roman" w:cs="Times New Roman"/>
          <w:color w:val="222222"/>
          <w:szCs w:val="24"/>
        </w:rPr>
      </w:pPr>
      <w:r w:rsidRPr="006E037A">
        <w:rPr>
          <w:rFonts w:eastAsia="Times New Roman" w:cs="Times New Roman"/>
          <w:color w:val="222222"/>
          <w:szCs w:val="24"/>
        </w:rPr>
        <w:t xml:space="preserve">Perseroan </w:t>
      </w:r>
      <w:proofErr w:type="gramStart"/>
      <w:r w:rsidRPr="006E037A">
        <w:rPr>
          <w:rFonts w:eastAsia="Times New Roman" w:cs="Times New Roman"/>
          <w:color w:val="222222"/>
          <w:szCs w:val="24"/>
        </w:rPr>
        <w:t>akan</w:t>
      </w:r>
      <w:proofErr w:type="gramEnd"/>
      <w:r w:rsidRPr="006E037A">
        <w:rPr>
          <w:rFonts w:eastAsia="Times New Roman" w:cs="Times New Roman"/>
          <w:color w:val="222222"/>
          <w:szCs w:val="24"/>
        </w:rPr>
        <w:t xml:space="preserve"> melakukan </w:t>
      </w:r>
      <w:r w:rsidRPr="006E037A">
        <w:rPr>
          <w:rFonts w:eastAsia="Times New Roman" w:cs="Times New Roman"/>
          <w:i/>
          <w:iCs/>
          <w:color w:val="222222"/>
          <w:szCs w:val="24"/>
        </w:rPr>
        <w:t>monitoring</w:t>
      </w:r>
      <w:r w:rsidRPr="006E037A">
        <w:rPr>
          <w:rFonts w:eastAsia="Times New Roman" w:cs="Times New Roman"/>
          <w:color w:val="222222"/>
          <w:szCs w:val="24"/>
        </w:rPr>
        <w:t>, pelaporan secara regular dan review atas penerapan GCG serta memfasilitasi assessment oleh pihak independen terhadap implementasi GCG di Perseroan untuk mendapatkan </w:t>
      </w:r>
      <w:r w:rsidRPr="006E037A">
        <w:rPr>
          <w:rFonts w:eastAsia="Times New Roman" w:cs="Times New Roman"/>
          <w:i/>
          <w:iCs/>
          <w:color w:val="222222"/>
          <w:szCs w:val="24"/>
        </w:rPr>
        <w:t>feed-back</w:t>
      </w:r>
      <w:r w:rsidRPr="006E037A">
        <w:rPr>
          <w:rFonts w:eastAsia="Times New Roman" w:cs="Times New Roman"/>
          <w:color w:val="222222"/>
          <w:szCs w:val="24"/>
        </w:rPr>
        <w:t>penerapan GCG.</w:t>
      </w:r>
    </w:p>
    <w:p w:rsidR="006E037A" w:rsidRPr="006E037A" w:rsidRDefault="006E037A" w:rsidP="00F7639B">
      <w:pPr>
        <w:shd w:val="clear" w:color="auto" w:fill="FFFFFF"/>
        <w:spacing w:after="225" w:line="240" w:lineRule="auto"/>
        <w:ind w:left="360"/>
        <w:jc w:val="both"/>
        <w:rPr>
          <w:rFonts w:eastAsia="Times New Roman" w:cs="Times New Roman"/>
          <w:color w:val="222222"/>
          <w:szCs w:val="24"/>
        </w:rPr>
      </w:pPr>
      <w:r w:rsidRPr="006E037A">
        <w:rPr>
          <w:rFonts w:eastAsia="Times New Roman" w:cs="Times New Roman"/>
          <w:color w:val="222222"/>
          <w:szCs w:val="24"/>
        </w:rPr>
        <w:lastRenderedPageBreak/>
        <w:t>2. Melengkapi seluruh </w:t>
      </w:r>
      <w:r w:rsidRPr="006E037A">
        <w:rPr>
          <w:rFonts w:eastAsia="Times New Roman" w:cs="Times New Roman"/>
          <w:i/>
          <w:iCs/>
          <w:color w:val="222222"/>
          <w:szCs w:val="24"/>
        </w:rPr>
        <w:t>soft structure</w:t>
      </w:r>
      <w:r w:rsidRPr="006E037A">
        <w:rPr>
          <w:rFonts w:eastAsia="Times New Roman" w:cs="Times New Roman"/>
          <w:color w:val="222222"/>
          <w:szCs w:val="24"/>
        </w:rPr>
        <w:t> disesuaikan dengan peraturan yang berlaku dan praktik terbaik penerapan GCG dan melakukan kajian bagi penyempurnaan yang sudah ada demi meningkatkan kualitas penerapan GCG.</w:t>
      </w:r>
    </w:p>
    <w:p w:rsidR="006E037A" w:rsidRPr="006E037A" w:rsidRDefault="006E037A" w:rsidP="00F7639B">
      <w:pPr>
        <w:shd w:val="clear" w:color="auto" w:fill="FFFFFF"/>
        <w:spacing w:line="240" w:lineRule="auto"/>
        <w:ind w:left="360"/>
        <w:jc w:val="both"/>
        <w:rPr>
          <w:rFonts w:eastAsia="Times New Roman" w:cs="Times New Roman"/>
          <w:color w:val="222222"/>
          <w:szCs w:val="24"/>
        </w:rPr>
      </w:pPr>
      <w:r w:rsidRPr="006E037A">
        <w:rPr>
          <w:rFonts w:eastAsia="Times New Roman" w:cs="Times New Roman"/>
          <w:color w:val="222222"/>
          <w:szCs w:val="24"/>
        </w:rPr>
        <w:t>3. Perseroan akan melakukan </w:t>
      </w:r>
      <w:r w:rsidRPr="006E037A">
        <w:rPr>
          <w:rFonts w:eastAsia="Times New Roman" w:cs="Times New Roman"/>
          <w:i/>
          <w:iCs/>
          <w:color w:val="222222"/>
          <w:szCs w:val="24"/>
        </w:rPr>
        <w:t>monitoring</w:t>
      </w:r>
      <w:r w:rsidRPr="006E037A">
        <w:rPr>
          <w:rFonts w:eastAsia="Times New Roman" w:cs="Times New Roman"/>
          <w:color w:val="222222"/>
          <w:szCs w:val="24"/>
        </w:rPr>
        <w:t>, pelaporan secara reguler dan </w:t>
      </w:r>
      <w:r w:rsidRPr="006E037A">
        <w:rPr>
          <w:rFonts w:eastAsia="Times New Roman" w:cs="Times New Roman"/>
          <w:i/>
          <w:iCs/>
          <w:color w:val="222222"/>
          <w:szCs w:val="24"/>
        </w:rPr>
        <w:t>review</w:t>
      </w:r>
      <w:r w:rsidRPr="006E037A">
        <w:rPr>
          <w:rFonts w:eastAsia="Times New Roman" w:cs="Times New Roman"/>
          <w:color w:val="222222"/>
          <w:szCs w:val="24"/>
        </w:rPr>
        <w:t>atas penerapan GCG serta</w:t>
      </w:r>
      <w:proofErr w:type="gramStart"/>
      <w:r w:rsidRPr="006E037A">
        <w:rPr>
          <w:rFonts w:eastAsia="Times New Roman" w:cs="Times New Roman"/>
          <w:color w:val="222222"/>
          <w:szCs w:val="24"/>
        </w:rPr>
        <w:t>  memfasilitasi</w:t>
      </w:r>
      <w:proofErr w:type="gramEnd"/>
      <w:r w:rsidRPr="006E037A">
        <w:rPr>
          <w:rFonts w:eastAsia="Times New Roman" w:cs="Times New Roman"/>
          <w:color w:val="222222"/>
          <w:szCs w:val="24"/>
        </w:rPr>
        <w:t> </w:t>
      </w:r>
      <w:r w:rsidRPr="006E037A">
        <w:rPr>
          <w:rFonts w:eastAsia="Times New Roman" w:cs="Times New Roman"/>
          <w:i/>
          <w:iCs/>
          <w:color w:val="222222"/>
          <w:szCs w:val="24"/>
        </w:rPr>
        <w:t>assessment</w:t>
      </w:r>
      <w:r w:rsidRPr="006E037A">
        <w:rPr>
          <w:rFonts w:eastAsia="Times New Roman" w:cs="Times New Roman"/>
          <w:color w:val="222222"/>
          <w:szCs w:val="24"/>
        </w:rPr>
        <w:t> oleh Pihak Independen terhadap implementasi GCG di Perseroan untuk mendapatkan </w:t>
      </w:r>
      <w:r w:rsidRPr="006E037A">
        <w:rPr>
          <w:rFonts w:eastAsia="Times New Roman" w:cs="Times New Roman"/>
          <w:i/>
          <w:iCs/>
          <w:color w:val="222222"/>
          <w:szCs w:val="24"/>
        </w:rPr>
        <w:t>feedback</w:t>
      </w:r>
      <w:r w:rsidRPr="006E037A">
        <w:rPr>
          <w:rFonts w:eastAsia="Times New Roman" w:cs="Times New Roman"/>
          <w:color w:val="222222"/>
          <w:szCs w:val="24"/>
        </w:rPr>
        <w:t>penerapan GCG.</w:t>
      </w:r>
    </w:p>
    <w:p w:rsidR="00F7639B" w:rsidRPr="00F7639B" w:rsidRDefault="00F7639B" w:rsidP="00F7639B">
      <w:pPr>
        <w:shd w:val="clear" w:color="auto" w:fill="FFFFFF"/>
        <w:spacing w:before="210" w:after="210" w:line="360" w:lineRule="auto"/>
        <w:ind w:left="360"/>
        <w:outlineLvl w:val="3"/>
        <w:rPr>
          <w:rFonts w:eastAsia="Times New Roman" w:cs="Times New Roman"/>
          <w:b/>
          <w:bCs/>
          <w:color w:val="222222"/>
          <w:szCs w:val="24"/>
        </w:rPr>
      </w:pPr>
      <w:r w:rsidRPr="00F7639B">
        <w:rPr>
          <w:rFonts w:eastAsia="Times New Roman" w:cs="Times New Roman"/>
          <w:b/>
          <w:bCs/>
          <w:color w:val="222222"/>
          <w:szCs w:val="24"/>
        </w:rPr>
        <w:t>4. Implementasi</w:t>
      </w:r>
      <w:r>
        <w:rPr>
          <w:rFonts w:eastAsia="Times New Roman" w:cs="Times New Roman"/>
          <w:b/>
          <w:bCs/>
          <w:color w:val="222222"/>
          <w:szCs w:val="24"/>
        </w:rPr>
        <w:t xml:space="preserve"> Strategi Perusahaan</w:t>
      </w:r>
    </w:p>
    <w:p w:rsidR="00F7639B" w:rsidRPr="00F7639B" w:rsidRDefault="00F7639B" w:rsidP="00F7639B">
      <w:pPr>
        <w:shd w:val="clear" w:color="auto" w:fill="FFFFFF"/>
        <w:spacing w:after="225" w:line="360" w:lineRule="auto"/>
        <w:ind w:left="360" w:firstLine="360"/>
        <w:jc w:val="both"/>
        <w:rPr>
          <w:rFonts w:eastAsia="Times New Roman" w:cs="Times New Roman"/>
          <w:color w:val="222222"/>
          <w:szCs w:val="24"/>
        </w:rPr>
      </w:pPr>
      <w:r w:rsidRPr="00F7639B">
        <w:rPr>
          <w:rFonts w:eastAsia="Times New Roman" w:cs="Times New Roman"/>
          <w:color w:val="222222"/>
          <w:szCs w:val="24"/>
        </w:rPr>
        <w:t>Perseroan memastikan bahwa prinsip-prinsip dasar GCG diterapkan pada setiap aspek bisnis dan di semua jajaran. Prinsip dasar tata kelola perusahaan meliputi keterbukaan (</w:t>
      </w:r>
      <w:r w:rsidRPr="00F7639B">
        <w:rPr>
          <w:rFonts w:eastAsia="Times New Roman" w:cs="Times New Roman"/>
          <w:i/>
          <w:iCs/>
          <w:color w:val="222222"/>
          <w:szCs w:val="24"/>
        </w:rPr>
        <w:t>transparency</w:t>
      </w:r>
      <w:r w:rsidRPr="00F7639B">
        <w:rPr>
          <w:rFonts w:eastAsia="Times New Roman" w:cs="Times New Roman"/>
          <w:color w:val="222222"/>
          <w:szCs w:val="24"/>
        </w:rPr>
        <w:t>), akuntabilitas (</w:t>
      </w:r>
      <w:r w:rsidRPr="00F7639B">
        <w:rPr>
          <w:rFonts w:eastAsia="Times New Roman" w:cs="Times New Roman"/>
          <w:i/>
          <w:iCs/>
          <w:color w:val="222222"/>
          <w:szCs w:val="24"/>
        </w:rPr>
        <w:t>accountability</w:t>
      </w:r>
      <w:r w:rsidRPr="00F7639B">
        <w:rPr>
          <w:rFonts w:eastAsia="Times New Roman" w:cs="Times New Roman"/>
          <w:color w:val="222222"/>
          <w:szCs w:val="24"/>
        </w:rPr>
        <w:t>), responsibilitas (</w:t>
      </w:r>
      <w:r w:rsidRPr="00F7639B">
        <w:rPr>
          <w:rFonts w:eastAsia="Times New Roman" w:cs="Times New Roman"/>
          <w:i/>
          <w:iCs/>
          <w:color w:val="222222"/>
          <w:szCs w:val="24"/>
        </w:rPr>
        <w:t>responsibility</w:t>
      </w:r>
      <w:r w:rsidRPr="00F7639B">
        <w:rPr>
          <w:rFonts w:eastAsia="Times New Roman" w:cs="Times New Roman"/>
          <w:color w:val="222222"/>
          <w:szCs w:val="24"/>
        </w:rPr>
        <w:t>), independensi (</w:t>
      </w:r>
      <w:r w:rsidRPr="00F7639B">
        <w:rPr>
          <w:rFonts w:eastAsia="Times New Roman" w:cs="Times New Roman"/>
          <w:i/>
          <w:iCs/>
          <w:color w:val="222222"/>
          <w:szCs w:val="24"/>
        </w:rPr>
        <w:t>independency</w:t>
      </w:r>
      <w:r w:rsidRPr="00F7639B">
        <w:rPr>
          <w:rFonts w:eastAsia="Times New Roman" w:cs="Times New Roman"/>
          <w:color w:val="222222"/>
          <w:szCs w:val="24"/>
        </w:rPr>
        <w:t>) serta kewajaran dan kesetaraan (</w:t>
      </w:r>
      <w:r w:rsidRPr="00F7639B">
        <w:rPr>
          <w:rFonts w:eastAsia="Times New Roman" w:cs="Times New Roman"/>
          <w:i/>
          <w:iCs/>
          <w:color w:val="222222"/>
          <w:szCs w:val="24"/>
        </w:rPr>
        <w:t>fairness</w:t>
      </w:r>
      <w:r w:rsidRPr="00F7639B">
        <w:rPr>
          <w:rFonts w:eastAsia="Times New Roman" w:cs="Times New Roman"/>
          <w:color w:val="222222"/>
          <w:szCs w:val="24"/>
        </w:rPr>
        <w:t>).</w:t>
      </w:r>
    </w:p>
    <w:p w:rsidR="00F7639B" w:rsidRPr="00F7639B" w:rsidRDefault="00F7639B" w:rsidP="00F7639B">
      <w:pPr>
        <w:shd w:val="clear" w:color="auto" w:fill="FFFFFF"/>
        <w:spacing w:after="225" w:line="360" w:lineRule="auto"/>
        <w:ind w:left="360" w:firstLine="360"/>
        <w:jc w:val="both"/>
        <w:rPr>
          <w:rFonts w:eastAsia="Times New Roman" w:cs="Times New Roman"/>
          <w:color w:val="222222"/>
          <w:szCs w:val="24"/>
        </w:rPr>
      </w:pPr>
      <w:r w:rsidRPr="00F7639B">
        <w:rPr>
          <w:rFonts w:eastAsia="Times New Roman" w:cs="Times New Roman"/>
          <w:color w:val="222222"/>
          <w:szCs w:val="24"/>
        </w:rPr>
        <w:t>Sejalan dengan program transformasi korporasi dan inovasi yang terus berkembang, Perseroan senantiasa melengkapi berbagai pranata organisasi dan membangun mekanisme pengelolaan bisnis yang andal. Hal ini diwujudkan melalui penerapan praktik-praktik tata kelola perusahaan yang baik (GCG) pada seluruh tingkatan dan jenjang organisasi secara konsisten sehingga akan memastikan terciptanya keseimbangan bisnis secara paripurna dan menyeluruh (360 derajat) bagi seluruh </w:t>
      </w:r>
      <w:r w:rsidRPr="00F7639B">
        <w:rPr>
          <w:rFonts w:eastAsia="Times New Roman" w:cs="Times New Roman"/>
          <w:i/>
          <w:iCs/>
          <w:color w:val="222222"/>
          <w:szCs w:val="24"/>
        </w:rPr>
        <w:t>stakeholder</w:t>
      </w:r>
      <w:r w:rsidRPr="00F7639B">
        <w:rPr>
          <w:rFonts w:eastAsia="Times New Roman" w:cs="Times New Roman"/>
          <w:color w:val="222222"/>
          <w:szCs w:val="24"/>
        </w:rPr>
        <w:t> dan seluruh kepentingan, baik ekonomi maupun sosial, individu dengan kelompok, internal juga eksternal , jangka pendek dan jangka panjang serta kepentingan pemegang saham (</w:t>
      </w:r>
      <w:r w:rsidRPr="00F7639B">
        <w:rPr>
          <w:rFonts w:eastAsia="Times New Roman" w:cs="Times New Roman"/>
          <w:i/>
          <w:iCs/>
          <w:color w:val="222222"/>
          <w:szCs w:val="24"/>
        </w:rPr>
        <w:t>shareholders</w:t>
      </w:r>
      <w:r w:rsidRPr="00F7639B">
        <w:rPr>
          <w:rFonts w:eastAsia="Times New Roman" w:cs="Times New Roman"/>
          <w:color w:val="222222"/>
          <w:szCs w:val="24"/>
        </w:rPr>
        <w:t>) dan pemangku kepentingan (</w:t>
      </w:r>
      <w:r w:rsidRPr="00F7639B">
        <w:rPr>
          <w:rFonts w:eastAsia="Times New Roman" w:cs="Times New Roman"/>
          <w:i/>
          <w:iCs/>
          <w:color w:val="222222"/>
          <w:szCs w:val="24"/>
        </w:rPr>
        <w:t>stakeholders</w:t>
      </w:r>
      <w:r w:rsidRPr="00F7639B">
        <w:rPr>
          <w:rFonts w:eastAsia="Times New Roman" w:cs="Times New Roman"/>
          <w:color w:val="222222"/>
          <w:szCs w:val="24"/>
        </w:rPr>
        <w:t>) akan menuju pada titik keseimbangan.</w:t>
      </w:r>
    </w:p>
    <w:p w:rsidR="00F7639B" w:rsidRPr="00F7639B" w:rsidRDefault="00F7639B" w:rsidP="00F7639B">
      <w:pPr>
        <w:shd w:val="clear" w:color="auto" w:fill="FFFFFF"/>
        <w:spacing w:after="225" w:line="360" w:lineRule="auto"/>
        <w:ind w:left="360" w:firstLine="360"/>
        <w:jc w:val="both"/>
        <w:rPr>
          <w:rFonts w:eastAsia="Times New Roman" w:cs="Times New Roman"/>
          <w:color w:val="222222"/>
          <w:szCs w:val="24"/>
        </w:rPr>
      </w:pPr>
      <w:r w:rsidRPr="00F7639B">
        <w:rPr>
          <w:rFonts w:eastAsia="Times New Roman" w:cs="Times New Roman"/>
          <w:color w:val="222222"/>
          <w:szCs w:val="24"/>
        </w:rPr>
        <w:t>Penerapan asas transparansi dilakukan melalui pelaksanaan berbagai kegiatan dan media komunikasi yang intensif dan dikelola secara profesional, sehingga para investor, pemegang saham, kreditur, masyarakat serta seluruh pemangku kepentingan dapat mengetahui kinerja dan kegiatan pengelolaan perusahaan secara merata.</w:t>
      </w:r>
    </w:p>
    <w:p w:rsidR="00F7639B" w:rsidRPr="00F7639B" w:rsidRDefault="00F7639B" w:rsidP="00F7639B">
      <w:pPr>
        <w:shd w:val="clear" w:color="auto" w:fill="FFFFFF"/>
        <w:spacing w:after="225" w:line="360" w:lineRule="auto"/>
        <w:ind w:left="360" w:firstLine="360"/>
        <w:jc w:val="both"/>
        <w:rPr>
          <w:rFonts w:eastAsia="Times New Roman" w:cs="Times New Roman"/>
          <w:color w:val="222222"/>
          <w:szCs w:val="24"/>
        </w:rPr>
      </w:pPr>
      <w:r w:rsidRPr="00F7639B">
        <w:rPr>
          <w:rFonts w:eastAsia="Times New Roman" w:cs="Times New Roman"/>
          <w:color w:val="222222"/>
          <w:szCs w:val="24"/>
        </w:rPr>
        <w:t>Perseroan melaksanakan prinsip akuntabilitas dengan menitikberatkan pada peningkatan fungsi dan peran setiap Organ Perseroan dan Manajemen sehingga pengelolaan usaha Perseroan dapat berjalan dengan baik. Perseroan menerapkan sistem pengendalian internal dengan sebagian tugasnya adalah melakukan pengawasan internal.</w:t>
      </w:r>
    </w:p>
    <w:p w:rsidR="00F7639B" w:rsidRPr="00F7639B" w:rsidRDefault="00F7639B" w:rsidP="00F7639B">
      <w:pPr>
        <w:shd w:val="clear" w:color="auto" w:fill="FFFFFF"/>
        <w:spacing w:after="225" w:line="360" w:lineRule="auto"/>
        <w:ind w:left="360" w:firstLine="360"/>
        <w:jc w:val="both"/>
        <w:rPr>
          <w:rFonts w:eastAsia="Times New Roman" w:cs="Times New Roman"/>
          <w:color w:val="222222"/>
          <w:szCs w:val="24"/>
        </w:rPr>
      </w:pPr>
      <w:r w:rsidRPr="00F7639B">
        <w:rPr>
          <w:rFonts w:eastAsia="Times New Roman" w:cs="Times New Roman"/>
          <w:color w:val="222222"/>
          <w:szCs w:val="24"/>
        </w:rPr>
        <w:t>Perseroan menerapkan asas tanggung-jawab dengan senantiasa berpegang teguh pada prinsip kehati-hatian dan memastikan kepatuhan terhadap ketentuan dan peraturan perundang-undangan yang berlaku. Penerapan prinsip kemandirian atau </w:t>
      </w:r>
      <w:r w:rsidRPr="00F7639B">
        <w:rPr>
          <w:rFonts w:eastAsia="Times New Roman" w:cs="Times New Roman"/>
          <w:i/>
          <w:iCs/>
          <w:color w:val="222222"/>
          <w:szCs w:val="24"/>
        </w:rPr>
        <w:t>independency</w:t>
      </w:r>
      <w:r w:rsidRPr="00F7639B">
        <w:rPr>
          <w:rFonts w:eastAsia="Times New Roman" w:cs="Times New Roman"/>
          <w:color w:val="222222"/>
          <w:szCs w:val="24"/>
        </w:rPr>
        <w:t xml:space="preserve"> Perseroan dilaksanakan dengan proses pengambilan keputusan yang </w:t>
      </w:r>
      <w:r w:rsidRPr="00F7639B">
        <w:rPr>
          <w:rFonts w:eastAsia="Times New Roman" w:cs="Times New Roman"/>
          <w:color w:val="222222"/>
          <w:szCs w:val="24"/>
        </w:rPr>
        <w:lastRenderedPageBreak/>
        <w:t>bebas dari benturan kepentingan (</w:t>
      </w:r>
      <w:r w:rsidRPr="00F7639B">
        <w:rPr>
          <w:rFonts w:eastAsia="Times New Roman" w:cs="Times New Roman"/>
          <w:i/>
          <w:iCs/>
          <w:color w:val="222222"/>
          <w:szCs w:val="24"/>
        </w:rPr>
        <w:t>conflic of interest</w:t>
      </w:r>
      <w:r w:rsidRPr="00F7639B">
        <w:rPr>
          <w:rFonts w:eastAsia="Times New Roman" w:cs="Times New Roman"/>
          <w:color w:val="222222"/>
          <w:szCs w:val="24"/>
        </w:rPr>
        <w:t>) serta pengaruh/tekanan dari pihak manapun yang tidak sesuai dengan peraturan perundang-undangan yang berlaku dan prinsip-prinsip korporasi yang sehat.</w:t>
      </w:r>
    </w:p>
    <w:p w:rsidR="00F7639B" w:rsidRPr="00F7639B" w:rsidRDefault="00F7639B" w:rsidP="00F7639B">
      <w:pPr>
        <w:shd w:val="clear" w:color="auto" w:fill="FFFFFF"/>
        <w:spacing w:after="225" w:line="360" w:lineRule="auto"/>
        <w:ind w:left="360" w:firstLine="360"/>
        <w:jc w:val="both"/>
        <w:rPr>
          <w:rFonts w:eastAsia="Times New Roman" w:cs="Times New Roman"/>
          <w:color w:val="222222"/>
          <w:szCs w:val="24"/>
        </w:rPr>
      </w:pPr>
      <w:r w:rsidRPr="00F7639B">
        <w:rPr>
          <w:rFonts w:eastAsia="Times New Roman" w:cs="Times New Roman"/>
          <w:color w:val="222222"/>
          <w:szCs w:val="24"/>
        </w:rPr>
        <w:t xml:space="preserve">Perseroan menerapkan azas kesetaraan dengan memperlakukan seluruh </w:t>
      </w:r>
      <w:proofErr w:type="gramStart"/>
      <w:r w:rsidRPr="00F7639B">
        <w:rPr>
          <w:rFonts w:eastAsia="Times New Roman" w:cs="Times New Roman"/>
          <w:color w:val="222222"/>
          <w:szCs w:val="24"/>
        </w:rPr>
        <w:t>stakeholders</w:t>
      </w:r>
      <w:proofErr w:type="gramEnd"/>
      <w:r w:rsidRPr="00F7639B">
        <w:rPr>
          <w:rFonts w:eastAsia="Times New Roman" w:cs="Times New Roman"/>
          <w:color w:val="222222"/>
          <w:szCs w:val="24"/>
        </w:rPr>
        <w:t xml:space="preserve"> secara berimbang (equal treatment) antara hak dan kewajiban yang diberikan kepada dan oleh Perseroan. Perseroan membuka akses informasi kepada seluruh pemangku kepentingan untuk memberikan sumbang-saran bagi kemajuan Perseroan, namun Perseroan juga menetapkan aturan kerahasiaan informasi yang membatasi akses informasi oleh pihak-pihak yang tidak berkepentingan.</w:t>
      </w:r>
    </w:p>
    <w:p w:rsidR="00F7639B" w:rsidRPr="00F7639B" w:rsidRDefault="00F7639B" w:rsidP="00F7639B">
      <w:pPr>
        <w:shd w:val="clear" w:color="auto" w:fill="FFFFFF"/>
        <w:spacing w:after="225" w:line="360" w:lineRule="auto"/>
        <w:ind w:left="360" w:firstLine="360"/>
        <w:jc w:val="both"/>
        <w:rPr>
          <w:rFonts w:eastAsia="Times New Roman" w:cs="Times New Roman"/>
          <w:color w:val="222222"/>
          <w:szCs w:val="24"/>
        </w:rPr>
      </w:pPr>
      <w:r w:rsidRPr="00F7639B">
        <w:rPr>
          <w:rFonts w:eastAsia="Times New Roman" w:cs="Times New Roman"/>
          <w:color w:val="222222"/>
          <w:szCs w:val="24"/>
        </w:rPr>
        <w:t xml:space="preserve">Beberapa program yang dilaksanakan pada tahun 2013 sebagai bukti komitmen manajemen Perseroan dalam penerapan GCG di antaranya </w:t>
      </w:r>
      <w:proofErr w:type="gramStart"/>
      <w:r w:rsidRPr="00F7639B">
        <w:rPr>
          <w:rFonts w:eastAsia="Times New Roman" w:cs="Times New Roman"/>
          <w:color w:val="222222"/>
          <w:szCs w:val="24"/>
        </w:rPr>
        <w:t>adalah :</w:t>
      </w:r>
      <w:proofErr w:type="gramEnd"/>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color w:val="222222"/>
          <w:szCs w:val="24"/>
        </w:rPr>
        <w:t xml:space="preserve">Penerapan </w:t>
      </w:r>
      <w:r w:rsidRPr="00F7639B">
        <w:rPr>
          <w:rFonts w:eastAsia="Times New Roman" w:cs="Times New Roman"/>
          <w:color w:val="222222"/>
          <w:szCs w:val="24"/>
        </w:rPr>
        <w:t>Penerapan secara optimal Pedoman Sistem pelaporan pelanggaran </w:t>
      </w:r>
      <w:r w:rsidRPr="00F7639B">
        <w:rPr>
          <w:rFonts w:eastAsia="Times New Roman" w:cs="Times New Roman"/>
          <w:i/>
          <w:iCs/>
          <w:color w:val="222222"/>
          <w:szCs w:val="24"/>
        </w:rPr>
        <w:t>(Whistle bolwing policy)</w:t>
      </w:r>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color w:val="222222"/>
          <w:szCs w:val="24"/>
        </w:rPr>
        <w:t>Penerapan secara optimal </w:t>
      </w:r>
      <w:r w:rsidRPr="00F7639B">
        <w:rPr>
          <w:rFonts w:eastAsia="Times New Roman" w:cs="Times New Roman"/>
          <w:i/>
          <w:iCs/>
          <w:color w:val="222222"/>
          <w:szCs w:val="24"/>
        </w:rPr>
        <w:t>Board Manual</w:t>
      </w:r>
      <w:r w:rsidRPr="00F7639B">
        <w:rPr>
          <w:rFonts w:eastAsia="Times New Roman" w:cs="Times New Roman"/>
          <w:color w:val="222222"/>
          <w:szCs w:val="24"/>
        </w:rPr>
        <w:t> dan Pedoman Kode Etik.</w:t>
      </w:r>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proofErr w:type="gramStart"/>
      <w:r w:rsidRPr="00F7639B">
        <w:rPr>
          <w:rFonts w:eastAsia="Times New Roman" w:cs="Times New Roman"/>
          <w:color w:val="222222"/>
          <w:szCs w:val="24"/>
        </w:rPr>
        <w:t>secara</w:t>
      </w:r>
      <w:proofErr w:type="gramEnd"/>
      <w:r w:rsidRPr="00F7639B">
        <w:rPr>
          <w:rFonts w:eastAsia="Times New Roman" w:cs="Times New Roman"/>
          <w:color w:val="222222"/>
          <w:szCs w:val="24"/>
        </w:rPr>
        <w:t xml:space="preserve"> optimal Pedoman </w:t>
      </w:r>
      <w:r w:rsidRPr="00F7639B">
        <w:rPr>
          <w:rFonts w:eastAsia="Times New Roman" w:cs="Times New Roman"/>
          <w:i/>
          <w:iCs/>
          <w:color w:val="222222"/>
          <w:szCs w:val="24"/>
        </w:rPr>
        <w:t>IT Governance</w:t>
      </w:r>
      <w:r w:rsidRPr="00F7639B">
        <w:rPr>
          <w:rFonts w:eastAsia="Times New Roman" w:cs="Times New Roman"/>
          <w:color w:val="222222"/>
          <w:szCs w:val="24"/>
        </w:rPr>
        <w:t>.</w:t>
      </w:r>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color w:val="222222"/>
          <w:szCs w:val="24"/>
        </w:rPr>
        <w:t>Pengkomunikasian dan sosialisasi penerapan GCG dilakukan secara bertahap kepada seluruh pemangku kepentingan.</w:t>
      </w:r>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color w:val="222222"/>
          <w:szCs w:val="24"/>
        </w:rPr>
        <w:t>Pemenuhan fungsi </w:t>
      </w:r>
      <w:r w:rsidRPr="00F7639B">
        <w:rPr>
          <w:rFonts w:eastAsia="Times New Roman" w:cs="Times New Roman"/>
          <w:i/>
          <w:iCs/>
          <w:color w:val="222222"/>
          <w:szCs w:val="24"/>
        </w:rPr>
        <w:t>liason officer</w:t>
      </w:r>
      <w:r w:rsidRPr="00F7639B">
        <w:rPr>
          <w:rFonts w:eastAsia="Times New Roman" w:cs="Times New Roman"/>
          <w:color w:val="222222"/>
          <w:szCs w:val="24"/>
        </w:rPr>
        <w:t> sesuai dengan perencanaannya.</w:t>
      </w:r>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color w:val="222222"/>
          <w:szCs w:val="24"/>
        </w:rPr>
        <w:t>Pemenuhan ketentuan pasar modal.</w:t>
      </w:r>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color w:val="222222"/>
          <w:szCs w:val="24"/>
        </w:rPr>
        <w:t>Penyelesaian tindak lanjut rekomendasi BPKP atas </w:t>
      </w:r>
      <w:r w:rsidRPr="00F7639B">
        <w:rPr>
          <w:rFonts w:eastAsia="Times New Roman" w:cs="Times New Roman"/>
          <w:i/>
          <w:iCs/>
          <w:color w:val="222222"/>
          <w:szCs w:val="24"/>
        </w:rPr>
        <w:t>assessment</w:t>
      </w:r>
      <w:r w:rsidRPr="00F7639B">
        <w:rPr>
          <w:rFonts w:eastAsia="Times New Roman" w:cs="Times New Roman"/>
          <w:color w:val="222222"/>
          <w:szCs w:val="24"/>
        </w:rPr>
        <w:t> tahun buku 2012.</w:t>
      </w:r>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i/>
          <w:iCs/>
          <w:color w:val="222222"/>
          <w:szCs w:val="24"/>
        </w:rPr>
        <w:t>Executive Briefing</w:t>
      </w:r>
      <w:r w:rsidRPr="00F7639B">
        <w:rPr>
          <w:rFonts w:eastAsia="Times New Roman" w:cs="Times New Roman"/>
          <w:color w:val="222222"/>
          <w:szCs w:val="24"/>
        </w:rPr>
        <w:t> GCG kepada Direkti Perseroan dan Group oleh BPKP terkait dengan perubahan peraturan dan kriteria asesmen GCG.</w:t>
      </w:r>
    </w:p>
    <w:p w:rsidR="00F7639B" w:rsidRP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color w:val="222222"/>
          <w:szCs w:val="24"/>
        </w:rPr>
        <w:t>Memasukkan implementasi GCG sebagai laporan yang harus disampaikan dalam Rapat Kerja Perusahaan Group 2014.</w:t>
      </w:r>
    </w:p>
    <w:p w:rsidR="00F7639B" w:rsidRDefault="00F7639B" w:rsidP="00F7639B">
      <w:pPr>
        <w:numPr>
          <w:ilvl w:val="0"/>
          <w:numId w:val="4"/>
        </w:numPr>
        <w:shd w:val="clear" w:color="auto" w:fill="FFFFFF"/>
        <w:spacing w:after="0" w:line="360" w:lineRule="auto"/>
        <w:ind w:left="810"/>
        <w:jc w:val="both"/>
        <w:rPr>
          <w:rFonts w:eastAsia="Times New Roman" w:cs="Times New Roman"/>
          <w:color w:val="222222"/>
          <w:szCs w:val="24"/>
        </w:rPr>
      </w:pPr>
      <w:r w:rsidRPr="00F7639B">
        <w:rPr>
          <w:rFonts w:eastAsia="Times New Roman" w:cs="Times New Roman"/>
          <w:color w:val="222222"/>
          <w:szCs w:val="24"/>
        </w:rPr>
        <w:t>Pelaksanaan </w:t>
      </w:r>
      <w:r w:rsidRPr="00F7639B">
        <w:rPr>
          <w:rFonts w:eastAsia="Times New Roman" w:cs="Times New Roman"/>
          <w:i/>
          <w:iCs/>
          <w:color w:val="222222"/>
          <w:szCs w:val="24"/>
        </w:rPr>
        <w:t>asessment </w:t>
      </w:r>
      <w:r w:rsidRPr="00F7639B">
        <w:rPr>
          <w:rFonts w:eastAsia="Times New Roman" w:cs="Times New Roman"/>
          <w:color w:val="222222"/>
          <w:szCs w:val="24"/>
        </w:rPr>
        <w:t>GCG oleh BPKP Perwakilan Jawa Timur tahun buku 2013.</w:t>
      </w:r>
    </w:p>
    <w:p w:rsidR="00F7639B" w:rsidRPr="00F7639B" w:rsidRDefault="00F7639B" w:rsidP="00F7639B">
      <w:pPr>
        <w:rPr>
          <w:rFonts w:eastAsia="Times New Roman" w:cs="Times New Roman"/>
          <w:color w:val="222222"/>
          <w:szCs w:val="24"/>
        </w:rPr>
      </w:pPr>
      <w:r>
        <w:rPr>
          <w:rFonts w:eastAsia="Times New Roman" w:cs="Times New Roman"/>
          <w:color w:val="222222"/>
          <w:szCs w:val="24"/>
        </w:rPr>
        <w:br w:type="page"/>
      </w:r>
    </w:p>
    <w:p w:rsidR="00F7639B" w:rsidRPr="00F7639B" w:rsidRDefault="00F7639B" w:rsidP="00F7639B">
      <w:pPr>
        <w:shd w:val="clear" w:color="auto" w:fill="FFFFFF"/>
        <w:spacing w:after="225" w:line="360" w:lineRule="auto"/>
        <w:ind w:left="540"/>
        <w:jc w:val="both"/>
        <w:rPr>
          <w:rFonts w:eastAsia="Times New Roman" w:cs="Times New Roman"/>
          <w:color w:val="222222"/>
          <w:szCs w:val="24"/>
        </w:rPr>
      </w:pPr>
      <w:r w:rsidRPr="00F7639B">
        <w:rPr>
          <w:rFonts w:eastAsia="Times New Roman" w:cs="Times New Roman"/>
          <w:bCs/>
          <w:color w:val="000000"/>
          <w:szCs w:val="24"/>
        </w:rPr>
        <w:lastRenderedPageBreak/>
        <w:t>Penerapan Board Manual</w:t>
      </w:r>
    </w:p>
    <w:p w:rsidR="00F7639B" w:rsidRPr="00F7639B" w:rsidRDefault="00F7639B" w:rsidP="00F7639B">
      <w:pPr>
        <w:shd w:val="clear" w:color="auto" w:fill="FFFFFF"/>
        <w:spacing w:after="225" w:line="360" w:lineRule="auto"/>
        <w:ind w:left="540" w:firstLine="180"/>
        <w:jc w:val="both"/>
        <w:rPr>
          <w:rFonts w:eastAsia="Times New Roman" w:cs="Times New Roman"/>
          <w:color w:val="222222"/>
          <w:szCs w:val="24"/>
        </w:rPr>
      </w:pPr>
      <w:r w:rsidRPr="00F7639B">
        <w:rPr>
          <w:rFonts w:eastAsia="Times New Roman" w:cs="Times New Roman"/>
          <w:color w:val="222222"/>
          <w:szCs w:val="24"/>
        </w:rPr>
        <w:t>Perseroan menjadikan </w:t>
      </w:r>
      <w:r w:rsidRPr="00F7639B">
        <w:rPr>
          <w:rFonts w:eastAsia="Times New Roman" w:cs="Times New Roman"/>
          <w:i/>
          <w:iCs/>
          <w:color w:val="222222"/>
          <w:szCs w:val="24"/>
        </w:rPr>
        <w:t>Board Manual</w:t>
      </w:r>
      <w:r w:rsidRPr="00F7639B">
        <w:rPr>
          <w:rFonts w:eastAsia="Times New Roman" w:cs="Times New Roman"/>
          <w:color w:val="222222"/>
          <w:szCs w:val="24"/>
        </w:rPr>
        <w:t> sebagai pedoman kerja Dewan Komisaris, Direksi dan</w:t>
      </w:r>
      <w:proofErr w:type="gramStart"/>
      <w:r w:rsidRPr="00F7639B">
        <w:rPr>
          <w:rFonts w:eastAsia="Times New Roman" w:cs="Times New Roman"/>
          <w:color w:val="222222"/>
          <w:szCs w:val="24"/>
        </w:rPr>
        <w:t>  Perangkatnya</w:t>
      </w:r>
      <w:proofErr w:type="gramEnd"/>
      <w:r w:rsidRPr="00F7639B">
        <w:rPr>
          <w:rFonts w:eastAsia="Times New Roman" w:cs="Times New Roman"/>
          <w:color w:val="222222"/>
          <w:szCs w:val="24"/>
        </w:rPr>
        <w:t xml:space="preserve"> yang bertujuan untuk:</w:t>
      </w:r>
    </w:p>
    <w:p w:rsidR="00F7639B" w:rsidRPr="00F7639B" w:rsidRDefault="00F7639B" w:rsidP="00F7639B">
      <w:pPr>
        <w:numPr>
          <w:ilvl w:val="0"/>
          <w:numId w:val="5"/>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Mempermudah Dewan Komisaris dan Direksi dalam memahami peraturan-peraturan yang terkait dengan tata kerja Dewan Komisaris dan Direksi.</w:t>
      </w:r>
    </w:p>
    <w:p w:rsidR="00F7639B" w:rsidRPr="00F7639B" w:rsidRDefault="00F7639B" w:rsidP="00F7639B">
      <w:pPr>
        <w:numPr>
          <w:ilvl w:val="0"/>
          <w:numId w:val="5"/>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Menjadi rujukan tentang tugas pokok, fungsi kerja dan meningkatkan kualitas serta efektivitas hubungan kerja antar kedua organ.</w:t>
      </w:r>
    </w:p>
    <w:p w:rsidR="00F7639B" w:rsidRDefault="00F7639B" w:rsidP="00F7639B">
      <w:pPr>
        <w:numPr>
          <w:ilvl w:val="0"/>
          <w:numId w:val="5"/>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Menerapkan asas-asas GCG yakni transparansi, akuntabilitas, responsibilitas, independensi, dan </w:t>
      </w:r>
      <w:r w:rsidRPr="00F7639B">
        <w:rPr>
          <w:rFonts w:eastAsia="Times New Roman" w:cs="Times New Roman"/>
          <w:i/>
          <w:iCs/>
          <w:color w:val="222222"/>
          <w:szCs w:val="24"/>
        </w:rPr>
        <w:t>fairness</w:t>
      </w:r>
      <w:r w:rsidRPr="00F7639B">
        <w:rPr>
          <w:rFonts w:eastAsia="Times New Roman" w:cs="Times New Roman"/>
          <w:color w:val="222222"/>
          <w:szCs w:val="24"/>
        </w:rPr>
        <w:t> (kewajaran).</w:t>
      </w:r>
    </w:p>
    <w:p w:rsidR="00F7639B" w:rsidRPr="00F7639B" w:rsidRDefault="00F7639B" w:rsidP="00F7639B">
      <w:pPr>
        <w:shd w:val="clear" w:color="auto" w:fill="FFFFFF"/>
        <w:spacing w:after="0" w:line="360" w:lineRule="auto"/>
        <w:ind w:left="900"/>
        <w:jc w:val="both"/>
        <w:rPr>
          <w:rFonts w:eastAsia="Times New Roman" w:cs="Times New Roman"/>
          <w:color w:val="222222"/>
          <w:szCs w:val="24"/>
        </w:rPr>
      </w:pPr>
    </w:p>
    <w:p w:rsidR="00F7639B" w:rsidRPr="00F7639B" w:rsidRDefault="00F7639B" w:rsidP="00F7639B">
      <w:pPr>
        <w:shd w:val="clear" w:color="auto" w:fill="FFFFFF"/>
        <w:spacing w:after="225" w:line="360" w:lineRule="auto"/>
        <w:ind w:left="540" w:firstLine="180"/>
        <w:jc w:val="both"/>
        <w:rPr>
          <w:rFonts w:eastAsia="Times New Roman" w:cs="Times New Roman"/>
          <w:color w:val="222222"/>
          <w:szCs w:val="24"/>
        </w:rPr>
      </w:pPr>
      <w:r w:rsidRPr="00F7639B">
        <w:rPr>
          <w:rFonts w:eastAsia="Times New Roman" w:cs="Times New Roman"/>
          <w:i/>
          <w:iCs/>
          <w:color w:val="222222"/>
          <w:szCs w:val="24"/>
        </w:rPr>
        <w:t>Board Manual</w:t>
      </w:r>
      <w:r w:rsidRPr="00F7639B">
        <w:rPr>
          <w:rFonts w:eastAsia="Times New Roman" w:cs="Times New Roman"/>
          <w:color w:val="222222"/>
          <w:szCs w:val="24"/>
        </w:rPr>
        <w:t> ini berlaku bagi Organ Perusahaan yaitu RUPS, Dewan Komisaris dan Direksi di lingkungan Perusahaan dengan mengacu pada ketentuan dan peraturan perundang-undangan yang berlaku, Anggaran Dasar, dan arahan Pemegang Saham yang ditetapkan dalam Rapat Umum Pemegang Saham (RUPS) yang mengatur tata kerja Dewan Komisaris dan Direksi.</w:t>
      </w:r>
    </w:p>
    <w:p w:rsidR="00F7639B" w:rsidRPr="00F7639B" w:rsidRDefault="00F7639B" w:rsidP="00F7639B">
      <w:pPr>
        <w:shd w:val="clear" w:color="auto" w:fill="FFFFFF"/>
        <w:spacing w:after="225" w:line="360" w:lineRule="auto"/>
        <w:ind w:left="540" w:firstLine="180"/>
        <w:jc w:val="both"/>
        <w:rPr>
          <w:rFonts w:eastAsia="Times New Roman" w:cs="Times New Roman"/>
          <w:color w:val="222222"/>
          <w:szCs w:val="24"/>
        </w:rPr>
      </w:pPr>
      <w:r w:rsidRPr="00F7639B">
        <w:rPr>
          <w:rFonts w:eastAsia="Times New Roman" w:cs="Times New Roman"/>
          <w:i/>
          <w:iCs/>
          <w:color w:val="222222"/>
          <w:szCs w:val="24"/>
        </w:rPr>
        <w:t>Board Manual</w:t>
      </w:r>
      <w:r w:rsidRPr="00F7639B">
        <w:rPr>
          <w:rFonts w:eastAsia="Times New Roman" w:cs="Times New Roman"/>
          <w:color w:val="222222"/>
          <w:szCs w:val="24"/>
        </w:rPr>
        <w:t> merupakan sistem yang menjamin pengelolaan yang baik dalam penentuan dan pencapaian tujuan perseroan sehingga dapat bersaing secara efisien, efektif dan sehat serta selalu dapat meraih dan mempertahankan posisi terdepan dalam iklim persaingan yang semakin ketat. Sebagai pedoman kerja, Board Manual mengatur tentang penetapan kebijakan perseroan oleh Direksi yaitu:</w:t>
      </w:r>
    </w:p>
    <w:p w:rsidR="00F7639B" w:rsidRPr="00F7639B" w:rsidRDefault="00F7639B" w:rsidP="00F7639B">
      <w:pPr>
        <w:numPr>
          <w:ilvl w:val="0"/>
          <w:numId w:val="6"/>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 xml:space="preserve">Kebijakan yang diambil oleh Direksi di dalam menjalankan, mengarahkan dan mengendalikan kegiatan kerja tertentu atau menyelesaikan suatu permasalahan tertentu, di mana substansi permasalahan atau kegiatan kerja dimaksud belum diatur dalam suatu aturan yang </w:t>
      </w:r>
      <w:proofErr w:type="gramStart"/>
      <w:r w:rsidRPr="00F7639B">
        <w:rPr>
          <w:rFonts w:eastAsia="Times New Roman" w:cs="Times New Roman"/>
          <w:color w:val="222222"/>
          <w:szCs w:val="24"/>
        </w:rPr>
        <w:t>baku</w:t>
      </w:r>
      <w:proofErr w:type="gramEnd"/>
      <w:r w:rsidRPr="00F7639B">
        <w:rPr>
          <w:rFonts w:eastAsia="Times New Roman" w:cs="Times New Roman"/>
          <w:color w:val="222222"/>
          <w:szCs w:val="24"/>
        </w:rPr>
        <w:t>.</w:t>
      </w:r>
    </w:p>
    <w:p w:rsidR="00F7639B" w:rsidRPr="00F7639B" w:rsidRDefault="00F7639B" w:rsidP="00F7639B">
      <w:pPr>
        <w:numPr>
          <w:ilvl w:val="0"/>
          <w:numId w:val="6"/>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Kebijakan yang diambil oleh Direksi dapat berupa suatu kebijakan yang diambil melalui Rapat Direksi, atau dapat pula merupakan kebijakan yang diambil secara individual tanpa adanya rapat dimaksud.</w:t>
      </w:r>
    </w:p>
    <w:p w:rsidR="00F7639B" w:rsidRPr="00F7639B" w:rsidRDefault="00F7639B" w:rsidP="00F7639B">
      <w:pPr>
        <w:shd w:val="clear" w:color="auto" w:fill="FFFFFF"/>
        <w:spacing w:after="225" w:line="360" w:lineRule="auto"/>
        <w:ind w:left="540"/>
        <w:jc w:val="both"/>
        <w:rPr>
          <w:rFonts w:eastAsia="Times New Roman" w:cs="Times New Roman"/>
          <w:color w:val="222222"/>
          <w:szCs w:val="24"/>
        </w:rPr>
      </w:pPr>
      <w:r w:rsidRPr="00F7639B">
        <w:rPr>
          <w:rFonts w:eastAsia="Times New Roman" w:cs="Times New Roman"/>
          <w:color w:val="222222"/>
          <w:szCs w:val="24"/>
        </w:rPr>
        <w:t>Prinsip-prinsip yang harus dipatuhi oleh Direksi dalam membuat kebijakan meliputi:</w:t>
      </w:r>
    </w:p>
    <w:p w:rsidR="00F7639B" w:rsidRPr="00F7639B" w:rsidRDefault="00F7639B" w:rsidP="00F7639B">
      <w:pPr>
        <w:numPr>
          <w:ilvl w:val="0"/>
          <w:numId w:val="7"/>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Dalam hal suatu kebijakan yang diambil oleh Direksi merupakan sesuatu yang substansinya menyangkut citra Perusahaan, risiko atau konsekuensi material maka kebijakan tersebut harus mendapat persetujuan Rapat Direksi;</w:t>
      </w:r>
    </w:p>
    <w:p w:rsidR="00F7639B" w:rsidRPr="00F7639B" w:rsidRDefault="00F7639B" w:rsidP="00F7639B">
      <w:pPr>
        <w:numPr>
          <w:ilvl w:val="0"/>
          <w:numId w:val="7"/>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lastRenderedPageBreak/>
        <w:t>Dalam hal kebijakan di atas dilakukan oleh Direktur Perusahaan sesuai dengan sektor/bidang tugasnya, maka Direktur yang bersangkutan bertanggung jawab atas kebijakan tersebut sampai dengan kebijakan tersebut dapat disetujui Rapat Direksi;</w:t>
      </w:r>
    </w:p>
    <w:p w:rsidR="00F7639B" w:rsidRPr="00F7639B" w:rsidRDefault="00F7639B" w:rsidP="00F7639B">
      <w:pPr>
        <w:numPr>
          <w:ilvl w:val="0"/>
          <w:numId w:val="7"/>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Dalam hal kebijakan yang diambil oleh Direksi mempunyai substansi yang sama dan dilakukan secara terus menerus sehingga menjadi suatu kebutuhan Perusahaan sehari-hari maka Direktur yang bersangkutan perlu mengusulkan kepada Direksi untuk menjadikan kebijakan yang dilakukannya sebagai suatu peraturan yang mengikat;</w:t>
      </w:r>
    </w:p>
    <w:p w:rsidR="00F7639B" w:rsidRPr="00F7639B" w:rsidRDefault="00F7639B" w:rsidP="00F7639B">
      <w:pPr>
        <w:numPr>
          <w:ilvl w:val="0"/>
          <w:numId w:val="7"/>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Dalam mengambil kebijakan atau keputusan atas suatu permasalahan yang timbul, setiap Direktur wajib mempertimbangkan beberapa hal sebagai berikut:</w:t>
      </w:r>
    </w:p>
    <w:p w:rsidR="00F7639B" w:rsidRPr="00F7639B" w:rsidRDefault="00F7639B" w:rsidP="00F7639B">
      <w:pPr>
        <w:shd w:val="clear" w:color="auto" w:fill="FFFFFF"/>
        <w:spacing w:after="225" w:line="360" w:lineRule="auto"/>
        <w:ind w:left="720"/>
        <w:jc w:val="both"/>
        <w:rPr>
          <w:rFonts w:eastAsia="Times New Roman" w:cs="Times New Roman"/>
          <w:color w:val="222222"/>
          <w:szCs w:val="24"/>
        </w:rPr>
      </w:pPr>
      <w:r w:rsidRPr="00F7639B">
        <w:rPr>
          <w:rFonts w:eastAsia="Times New Roman" w:cs="Times New Roman"/>
          <w:color w:val="222222"/>
          <w:szCs w:val="24"/>
        </w:rPr>
        <w:t>- Itikad baik;</w:t>
      </w:r>
    </w:p>
    <w:p w:rsidR="00F7639B" w:rsidRPr="00F7639B" w:rsidRDefault="00F7639B" w:rsidP="00F7639B">
      <w:pPr>
        <w:shd w:val="clear" w:color="auto" w:fill="FFFFFF"/>
        <w:spacing w:after="225" w:line="360" w:lineRule="auto"/>
        <w:ind w:left="720"/>
        <w:jc w:val="both"/>
        <w:rPr>
          <w:rFonts w:eastAsia="Times New Roman" w:cs="Times New Roman"/>
          <w:color w:val="222222"/>
          <w:szCs w:val="24"/>
        </w:rPr>
      </w:pPr>
      <w:r w:rsidRPr="00F7639B">
        <w:rPr>
          <w:rFonts w:eastAsia="Times New Roman" w:cs="Times New Roman"/>
          <w:color w:val="222222"/>
          <w:szCs w:val="24"/>
        </w:rPr>
        <w:t>- Pertimbangan rasional dan informasi yang cukup;</w:t>
      </w:r>
    </w:p>
    <w:p w:rsidR="00F7639B" w:rsidRPr="00F7639B" w:rsidRDefault="00F7639B" w:rsidP="00F7639B">
      <w:pPr>
        <w:shd w:val="clear" w:color="auto" w:fill="FFFFFF"/>
        <w:spacing w:after="225" w:line="360" w:lineRule="auto"/>
        <w:ind w:left="720"/>
        <w:jc w:val="both"/>
        <w:rPr>
          <w:rFonts w:eastAsia="Times New Roman" w:cs="Times New Roman"/>
          <w:color w:val="222222"/>
          <w:szCs w:val="24"/>
        </w:rPr>
      </w:pPr>
      <w:r w:rsidRPr="00F7639B">
        <w:rPr>
          <w:rFonts w:eastAsia="Times New Roman" w:cs="Times New Roman"/>
          <w:color w:val="222222"/>
          <w:szCs w:val="24"/>
        </w:rPr>
        <w:t>- Investigasi memadai terhadap permasalahan yang ada serta berbagai kemungkinan pemecahannya beserta dampak positif dan negatifnya bagi Perusahaan;</w:t>
      </w:r>
    </w:p>
    <w:p w:rsidR="00F7639B" w:rsidRPr="00F7639B" w:rsidRDefault="00F7639B" w:rsidP="00F7639B">
      <w:pPr>
        <w:shd w:val="clear" w:color="auto" w:fill="FFFFFF"/>
        <w:spacing w:after="225" w:line="360" w:lineRule="auto"/>
        <w:ind w:left="720"/>
        <w:jc w:val="both"/>
        <w:rPr>
          <w:rFonts w:eastAsia="Times New Roman" w:cs="Times New Roman"/>
          <w:color w:val="222222"/>
          <w:szCs w:val="24"/>
        </w:rPr>
      </w:pPr>
      <w:r w:rsidRPr="00F7639B">
        <w:rPr>
          <w:rFonts w:eastAsia="Times New Roman" w:cs="Times New Roman"/>
          <w:color w:val="222222"/>
          <w:szCs w:val="24"/>
        </w:rPr>
        <w:t>- Dibuat berdasarkan pertimbangan semata-mata untuk kepentingan Perusahaan;</w:t>
      </w:r>
    </w:p>
    <w:p w:rsidR="00F7639B" w:rsidRPr="00F7639B" w:rsidRDefault="00F7639B" w:rsidP="00F7639B">
      <w:pPr>
        <w:shd w:val="clear" w:color="auto" w:fill="FFFFFF"/>
        <w:spacing w:after="225" w:line="360" w:lineRule="auto"/>
        <w:ind w:left="720"/>
        <w:jc w:val="both"/>
        <w:rPr>
          <w:rFonts w:eastAsia="Times New Roman" w:cs="Times New Roman"/>
          <w:color w:val="222222"/>
          <w:szCs w:val="24"/>
        </w:rPr>
      </w:pPr>
      <w:r w:rsidRPr="00F7639B">
        <w:rPr>
          <w:rFonts w:eastAsia="Times New Roman" w:cs="Times New Roman"/>
          <w:color w:val="222222"/>
          <w:szCs w:val="24"/>
        </w:rPr>
        <w:t xml:space="preserve">- Koordinasi dengan Direktur lainnya khususnya untuk suatu kebijakan yang </w:t>
      </w:r>
      <w:proofErr w:type="gramStart"/>
      <w:r w:rsidRPr="00F7639B">
        <w:rPr>
          <w:rFonts w:eastAsia="Times New Roman" w:cs="Times New Roman"/>
          <w:color w:val="222222"/>
          <w:szCs w:val="24"/>
        </w:rPr>
        <w:t>akan</w:t>
      </w:r>
      <w:proofErr w:type="gramEnd"/>
      <w:r w:rsidRPr="00F7639B">
        <w:rPr>
          <w:rFonts w:eastAsia="Times New Roman" w:cs="Times New Roman"/>
          <w:color w:val="222222"/>
          <w:szCs w:val="24"/>
        </w:rPr>
        <w:t xml:space="preserve"> berdampak langsung maupun tidak langsung kepada tugas dan kewenangan serta kebijakan Direktur lainnya.</w:t>
      </w:r>
    </w:p>
    <w:p w:rsidR="00F7639B" w:rsidRPr="00F7639B" w:rsidRDefault="00F7639B" w:rsidP="00F7639B">
      <w:pPr>
        <w:numPr>
          <w:ilvl w:val="0"/>
          <w:numId w:val="8"/>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Dalam menjalankan kewajiban sehari-hari, Direksi senantiasa mempertimbangkan kesesuaian tindakan dengan rencana dan tujuan Perusahaan;</w:t>
      </w:r>
    </w:p>
    <w:p w:rsidR="00F7639B" w:rsidRPr="00F7639B" w:rsidRDefault="00F7639B" w:rsidP="00F7639B">
      <w:pPr>
        <w:numPr>
          <w:ilvl w:val="0"/>
          <w:numId w:val="8"/>
        </w:numPr>
        <w:shd w:val="clear" w:color="auto" w:fill="FFFFFF"/>
        <w:spacing w:after="0" w:line="360" w:lineRule="auto"/>
        <w:ind w:left="900"/>
        <w:jc w:val="both"/>
        <w:rPr>
          <w:rFonts w:eastAsia="Times New Roman" w:cs="Times New Roman"/>
          <w:color w:val="222222"/>
          <w:szCs w:val="24"/>
        </w:rPr>
      </w:pPr>
      <w:r w:rsidRPr="00F7639B">
        <w:rPr>
          <w:rFonts w:eastAsia="Times New Roman" w:cs="Times New Roman"/>
          <w:color w:val="222222"/>
          <w:szCs w:val="24"/>
        </w:rPr>
        <w:t>Pendelegasian wewenang Direksi kepada Karyawan atau pihak lain untuk melakukan perbuatan hukum atas nama Perusahaan wajib dinyatakan dalam bentuk dokumen tertulis dan disetujui oleh Direktur Utama;</w:t>
      </w:r>
    </w:p>
    <w:p w:rsidR="00F7639B" w:rsidRPr="00F7639B" w:rsidRDefault="00F7639B" w:rsidP="00F7639B">
      <w:pPr>
        <w:numPr>
          <w:ilvl w:val="0"/>
          <w:numId w:val="8"/>
        </w:numPr>
        <w:shd w:val="clear" w:color="auto" w:fill="FFFFFF"/>
        <w:spacing w:line="360" w:lineRule="auto"/>
        <w:ind w:left="900"/>
        <w:jc w:val="both"/>
        <w:rPr>
          <w:rFonts w:eastAsia="Times New Roman" w:cs="Times New Roman"/>
          <w:color w:val="222222"/>
          <w:szCs w:val="24"/>
        </w:rPr>
      </w:pPr>
      <w:r w:rsidRPr="00F7639B">
        <w:rPr>
          <w:rFonts w:eastAsia="Times New Roman" w:cs="Times New Roman"/>
          <w:color w:val="222222"/>
          <w:szCs w:val="24"/>
        </w:rPr>
        <w:t>Bentuk-bentuk kebijakan pengurusan Perusahaan seperti Surat Keputusan dan lain-lain, diatur dalam dokumen Perusahaan tersendiri.</w:t>
      </w:r>
    </w:p>
    <w:p w:rsidR="006E037A" w:rsidRPr="006E037A" w:rsidRDefault="006E037A" w:rsidP="00F7639B">
      <w:pPr>
        <w:spacing w:line="360" w:lineRule="auto"/>
        <w:ind w:left="360"/>
        <w:rPr>
          <w:rFonts w:cs="Times New Roman"/>
          <w:szCs w:val="24"/>
        </w:rPr>
      </w:pPr>
    </w:p>
    <w:sectPr w:rsidR="006E037A" w:rsidRPr="006E037A" w:rsidSect="008A5AB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21593"/>
    <w:multiLevelType w:val="hybridMultilevel"/>
    <w:tmpl w:val="A5FAE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477570"/>
    <w:multiLevelType w:val="multilevel"/>
    <w:tmpl w:val="507C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C484D"/>
    <w:multiLevelType w:val="multilevel"/>
    <w:tmpl w:val="F976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941ED0"/>
    <w:multiLevelType w:val="multilevel"/>
    <w:tmpl w:val="7134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1D1C0A"/>
    <w:multiLevelType w:val="multilevel"/>
    <w:tmpl w:val="D496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BE2341"/>
    <w:multiLevelType w:val="multilevel"/>
    <w:tmpl w:val="5AA6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60596"/>
    <w:multiLevelType w:val="multilevel"/>
    <w:tmpl w:val="1A6C2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1A6BC7"/>
    <w:multiLevelType w:val="multilevel"/>
    <w:tmpl w:val="12A0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2E7"/>
    <w:rsid w:val="000C3343"/>
    <w:rsid w:val="003409A4"/>
    <w:rsid w:val="00630FF1"/>
    <w:rsid w:val="006E037A"/>
    <w:rsid w:val="007E72E7"/>
    <w:rsid w:val="008A5AB3"/>
    <w:rsid w:val="00E940FD"/>
    <w:rsid w:val="00F7639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4480A-C403-4775-9CB0-364D5670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9A4"/>
  </w:style>
  <w:style w:type="paragraph" w:styleId="Heading4">
    <w:name w:val="heading 4"/>
    <w:basedOn w:val="Normal"/>
    <w:link w:val="Heading4Char"/>
    <w:uiPriority w:val="9"/>
    <w:qFormat/>
    <w:rsid w:val="006E037A"/>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0FF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30FF1"/>
    <w:rPr>
      <w:b/>
      <w:bCs/>
    </w:rPr>
  </w:style>
  <w:style w:type="character" w:customStyle="1" w:styleId="apple-converted-space">
    <w:name w:val="apple-converted-space"/>
    <w:basedOn w:val="DefaultParagraphFont"/>
    <w:rsid w:val="00630FF1"/>
  </w:style>
  <w:style w:type="character" w:styleId="Emphasis">
    <w:name w:val="Emphasis"/>
    <w:basedOn w:val="DefaultParagraphFont"/>
    <w:uiPriority w:val="20"/>
    <w:qFormat/>
    <w:rsid w:val="00630FF1"/>
    <w:rPr>
      <w:i/>
      <w:iCs/>
    </w:rPr>
  </w:style>
  <w:style w:type="paragraph" w:styleId="ListParagraph">
    <w:name w:val="List Paragraph"/>
    <w:basedOn w:val="Normal"/>
    <w:uiPriority w:val="34"/>
    <w:qFormat/>
    <w:rsid w:val="00630FF1"/>
    <w:pPr>
      <w:ind w:left="720"/>
      <w:contextualSpacing/>
    </w:pPr>
  </w:style>
  <w:style w:type="character" w:customStyle="1" w:styleId="Heading4Char">
    <w:name w:val="Heading 4 Char"/>
    <w:basedOn w:val="DefaultParagraphFont"/>
    <w:link w:val="Heading4"/>
    <w:uiPriority w:val="9"/>
    <w:rsid w:val="006E037A"/>
    <w:rPr>
      <w:rFonts w:eastAsia="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731318">
      <w:bodyDiv w:val="1"/>
      <w:marLeft w:val="0"/>
      <w:marRight w:val="0"/>
      <w:marTop w:val="0"/>
      <w:marBottom w:val="0"/>
      <w:divBdr>
        <w:top w:val="none" w:sz="0" w:space="0" w:color="auto"/>
        <w:left w:val="none" w:sz="0" w:space="0" w:color="auto"/>
        <w:bottom w:val="none" w:sz="0" w:space="0" w:color="auto"/>
        <w:right w:val="none" w:sz="0" w:space="0" w:color="auto"/>
      </w:divBdr>
    </w:div>
    <w:div w:id="1547371257">
      <w:bodyDiv w:val="1"/>
      <w:marLeft w:val="0"/>
      <w:marRight w:val="0"/>
      <w:marTop w:val="0"/>
      <w:marBottom w:val="0"/>
      <w:divBdr>
        <w:top w:val="none" w:sz="0" w:space="0" w:color="auto"/>
        <w:left w:val="none" w:sz="0" w:space="0" w:color="auto"/>
        <w:bottom w:val="none" w:sz="0" w:space="0" w:color="auto"/>
        <w:right w:val="none" w:sz="0" w:space="0" w:color="auto"/>
      </w:divBdr>
      <w:divsChild>
        <w:div w:id="1785226116">
          <w:marLeft w:val="-225"/>
          <w:marRight w:val="-225"/>
          <w:marTop w:val="0"/>
          <w:marBottom w:val="0"/>
          <w:divBdr>
            <w:top w:val="none" w:sz="0" w:space="0" w:color="auto"/>
            <w:left w:val="none" w:sz="0" w:space="0" w:color="auto"/>
            <w:bottom w:val="none" w:sz="0" w:space="0" w:color="auto"/>
            <w:right w:val="none" w:sz="0" w:space="0" w:color="auto"/>
          </w:divBdr>
          <w:divsChild>
            <w:div w:id="1151871995">
              <w:marLeft w:val="0"/>
              <w:marRight w:val="0"/>
              <w:marTop w:val="0"/>
              <w:marBottom w:val="0"/>
              <w:divBdr>
                <w:top w:val="none" w:sz="0" w:space="0" w:color="auto"/>
                <w:left w:val="none" w:sz="0" w:space="0" w:color="auto"/>
                <w:bottom w:val="none" w:sz="0" w:space="0" w:color="auto"/>
                <w:right w:val="none" w:sz="0" w:space="0" w:color="auto"/>
              </w:divBdr>
            </w:div>
            <w:div w:id="1337882819">
              <w:marLeft w:val="0"/>
              <w:marRight w:val="0"/>
              <w:marTop w:val="0"/>
              <w:marBottom w:val="0"/>
              <w:divBdr>
                <w:top w:val="none" w:sz="0" w:space="0" w:color="auto"/>
                <w:left w:val="none" w:sz="0" w:space="0" w:color="auto"/>
                <w:bottom w:val="none" w:sz="0" w:space="0" w:color="auto"/>
                <w:right w:val="none" w:sz="0" w:space="0" w:color="auto"/>
              </w:divBdr>
            </w:div>
          </w:divsChild>
        </w:div>
        <w:div w:id="73018183">
          <w:marLeft w:val="-225"/>
          <w:marRight w:val="-225"/>
          <w:marTop w:val="0"/>
          <w:marBottom w:val="0"/>
          <w:divBdr>
            <w:top w:val="none" w:sz="0" w:space="0" w:color="auto"/>
            <w:left w:val="none" w:sz="0" w:space="0" w:color="auto"/>
            <w:bottom w:val="none" w:sz="0" w:space="0" w:color="auto"/>
            <w:right w:val="none" w:sz="0" w:space="0" w:color="auto"/>
          </w:divBdr>
          <w:divsChild>
            <w:div w:id="657613034">
              <w:marLeft w:val="0"/>
              <w:marRight w:val="0"/>
              <w:marTop w:val="0"/>
              <w:marBottom w:val="0"/>
              <w:divBdr>
                <w:top w:val="none" w:sz="0" w:space="0" w:color="auto"/>
                <w:left w:val="none" w:sz="0" w:space="0" w:color="auto"/>
                <w:bottom w:val="none" w:sz="0" w:space="0" w:color="auto"/>
                <w:right w:val="none" w:sz="0" w:space="0" w:color="auto"/>
              </w:divBdr>
              <w:divsChild>
                <w:div w:id="1031421844">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792627169">
      <w:bodyDiv w:val="1"/>
      <w:marLeft w:val="0"/>
      <w:marRight w:val="0"/>
      <w:marTop w:val="0"/>
      <w:marBottom w:val="0"/>
      <w:divBdr>
        <w:top w:val="none" w:sz="0" w:space="0" w:color="auto"/>
        <w:left w:val="none" w:sz="0" w:space="0" w:color="auto"/>
        <w:bottom w:val="none" w:sz="0" w:space="0" w:color="auto"/>
        <w:right w:val="none" w:sz="0" w:space="0" w:color="auto"/>
      </w:divBdr>
      <w:divsChild>
        <w:div w:id="3633962">
          <w:marLeft w:val="-225"/>
          <w:marRight w:val="-225"/>
          <w:marTop w:val="0"/>
          <w:marBottom w:val="0"/>
          <w:divBdr>
            <w:top w:val="none" w:sz="0" w:space="0" w:color="auto"/>
            <w:left w:val="none" w:sz="0" w:space="0" w:color="auto"/>
            <w:bottom w:val="none" w:sz="0" w:space="0" w:color="auto"/>
            <w:right w:val="none" w:sz="0" w:space="0" w:color="auto"/>
          </w:divBdr>
          <w:divsChild>
            <w:div w:id="82922868">
              <w:marLeft w:val="0"/>
              <w:marRight w:val="0"/>
              <w:marTop w:val="0"/>
              <w:marBottom w:val="0"/>
              <w:divBdr>
                <w:top w:val="none" w:sz="0" w:space="0" w:color="auto"/>
                <w:left w:val="none" w:sz="0" w:space="0" w:color="auto"/>
                <w:bottom w:val="none" w:sz="0" w:space="0" w:color="auto"/>
                <w:right w:val="none" w:sz="0" w:space="0" w:color="auto"/>
              </w:divBdr>
            </w:div>
            <w:div w:id="122307262">
              <w:marLeft w:val="0"/>
              <w:marRight w:val="0"/>
              <w:marTop w:val="0"/>
              <w:marBottom w:val="0"/>
              <w:divBdr>
                <w:top w:val="none" w:sz="0" w:space="0" w:color="auto"/>
                <w:left w:val="none" w:sz="0" w:space="0" w:color="auto"/>
                <w:bottom w:val="none" w:sz="0" w:space="0" w:color="auto"/>
                <w:right w:val="none" w:sz="0" w:space="0" w:color="auto"/>
              </w:divBdr>
            </w:div>
          </w:divsChild>
        </w:div>
        <w:div w:id="988097362">
          <w:marLeft w:val="-225"/>
          <w:marRight w:val="-225"/>
          <w:marTop w:val="0"/>
          <w:marBottom w:val="0"/>
          <w:divBdr>
            <w:top w:val="none" w:sz="0" w:space="0" w:color="auto"/>
            <w:left w:val="none" w:sz="0" w:space="0" w:color="auto"/>
            <w:bottom w:val="none" w:sz="0" w:space="0" w:color="auto"/>
            <w:right w:val="none" w:sz="0" w:space="0" w:color="auto"/>
          </w:divBdr>
          <w:divsChild>
            <w:div w:id="1321696430">
              <w:marLeft w:val="0"/>
              <w:marRight w:val="0"/>
              <w:marTop w:val="0"/>
              <w:marBottom w:val="0"/>
              <w:divBdr>
                <w:top w:val="none" w:sz="0" w:space="0" w:color="auto"/>
                <w:left w:val="none" w:sz="0" w:space="0" w:color="auto"/>
                <w:bottom w:val="none" w:sz="0" w:space="0" w:color="auto"/>
                <w:right w:val="none" w:sz="0" w:space="0" w:color="auto"/>
              </w:divBdr>
              <w:divsChild>
                <w:div w:id="1190528773">
                  <w:marLeft w:val="0"/>
                  <w:marRight w:val="0"/>
                  <w:marTop w:val="150"/>
                  <w:marBottom w:val="450"/>
                  <w:divBdr>
                    <w:top w:val="none" w:sz="0" w:space="0" w:color="auto"/>
                    <w:left w:val="none" w:sz="0" w:space="0" w:color="auto"/>
                    <w:bottom w:val="none" w:sz="0" w:space="0" w:color="auto"/>
                    <w:right w:val="none" w:sz="0" w:space="0" w:color="auto"/>
                  </w:divBdr>
                </w:div>
              </w:divsChild>
            </w:div>
          </w:divsChild>
        </w:div>
      </w:divsChild>
    </w:div>
    <w:div w:id="19269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2016-06-09T12:39:00Z</dcterms:created>
  <dcterms:modified xsi:type="dcterms:W3CDTF">2016-06-09T13:29:00Z</dcterms:modified>
</cp:coreProperties>
</file>