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807" w:rsidRDefault="00A81D69" w:rsidP="007E4E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1D69" w:rsidRDefault="00A81D69" w:rsidP="00A81D69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Kurikulum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adalah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seperangkat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rencana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dan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pengaturan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mengenai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tujuan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isi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dan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bahan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pelajaran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serta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cara</w:t>
      </w:r>
      <w:proofErr w:type="spellEnd"/>
      <w:proofErr w:type="gram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yang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digunakan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sebagai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pedoman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penyelenggaraan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kegiatan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pembelajaran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untuk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mencapai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tujuan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pendidikan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tertentu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  (UU no. 2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tahun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2003 </w:t>
      </w:r>
      <w:proofErr w:type="spellStart"/>
      <w:proofErr w:type="gram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tentang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Sistem</w:t>
      </w:r>
      <w:proofErr w:type="spellEnd"/>
      <w:proofErr w:type="gram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Pendidikan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Nasional</w:t>
      </w:r>
      <w:proofErr w:type="spellEnd"/>
      <w:r w:rsidRPr="00590A3D">
        <w:rPr>
          <w:rFonts w:asciiTheme="majorBidi" w:hAnsiTheme="majorBidi" w:cstheme="majorBidi"/>
          <w:sz w:val="24"/>
          <w:szCs w:val="24"/>
          <w:shd w:val="clear" w:color="auto" w:fill="FFFFFF"/>
        </w:rPr>
        <w:t>)</w:t>
      </w:r>
    </w:p>
    <w:p w:rsidR="00A81D69" w:rsidRDefault="00A81D69" w:rsidP="00A81D69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90A3D">
        <w:rPr>
          <w:rFonts w:asciiTheme="majorBidi" w:hAnsiTheme="majorBidi" w:cstheme="majorBidi"/>
          <w:sz w:val="24"/>
          <w:szCs w:val="24"/>
        </w:rPr>
        <w:t>Balitbang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Depdiknas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(2002:3)</w:t>
      </w:r>
      <w:proofErr w:type="gramStart"/>
      <w:r w:rsidRPr="00590A3D">
        <w:rPr>
          <w:rFonts w:asciiTheme="majorBidi" w:hAnsiTheme="majorBidi" w:cstheme="majorBidi"/>
          <w:sz w:val="24"/>
          <w:szCs w:val="24"/>
        </w:rPr>
        <w:t xml:space="preserve">, 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mendefinisikan</w:t>
      </w:r>
      <w:proofErr w:type="spellEnd"/>
      <w:proofErr w:type="gram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berbasis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perangkat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rencana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pengaturan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kompetensi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kegiatan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mengajar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pemberdayaan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sekolah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Kurikulum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berorientasi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: (1)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dampak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diharapkan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peserta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didik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serangkaian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pengalaman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bermakna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(2)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keberagaman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diwujudkan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hAnsiTheme="majorBidi" w:cstheme="majorBidi"/>
          <w:sz w:val="24"/>
          <w:szCs w:val="24"/>
        </w:rPr>
        <w:t>kebutuhannya</w:t>
      </w:r>
      <w:proofErr w:type="spellEnd"/>
      <w:r w:rsidRPr="00590A3D">
        <w:rPr>
          <w:rFonts w:asciiTheme="majorBidi" w:hAnsiTheme="majorBidi" w:cstheme="majorBidi"/>
          <w:sz w:val="24"/>
          <w:szCs w:val="24"/>
        </w:rPr>
        <w:t>.</w:t>
      </w:r>
    </w:p>
    <w:p w:rsidR="00A81D69" w:rsidRDefault="00A81D69" w:rsidP="00A81D69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Indikator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</w:p>
    <w:p w:rsidR="00A81D69" w:rsidRPr="00590A3D" w:rsidRDefault="00A81D69" w:rsidP="00A81D6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Adanya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peningkatan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mutu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dapat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dicapai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oleh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melalui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kemandirian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inisiatif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kepala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guru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mengelola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mendayagunakan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sumber-sumber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tersedia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A81D69" w:rsidRPr="00590A3D" w:rsidRDefault="00A81D69" w:rsidP="00A81D69">
      <w:pPr>
        <w:pStyle w:val="ListParagraph"/>
        <w:numPr>
          <w:ilvl w:val="0"/>
          <w:numId w:val="3"/>
        </w:numPr>
        <w:spacing w:after="18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Adanya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peningkatan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efisiensi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efektifitas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pengelolaan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penggunaan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sumber-sumber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melalui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pembagian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tanggung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jawab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jelas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transparan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>. </w:t>
      </w:r>
    </w:p>
    <w:p w:rsidR="00A81D69" w:rsidRPr="00590A3D" w:rsidRDefault="00A81D69" w:rsidP="00A81D69">
      <w:pPr>
        <w:pStyle w:val="ListParagraph"/>
        <w:numPr>
          <w:ilvl w:val="0"/>
          <w:numId w:val="3"/>
        </w:numPr>
        <w:spacing w:after="18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Adanya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peningkatan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perhatian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partisipasi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warga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masyarakat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sekitar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penyelenggaraan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pembelajaranyang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dicapai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melalui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pengambilan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keputusan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bersama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A81D69" w:rsidRPr="00590A3D" w:rsidRDefault="00A81D69" w:rsidP="00A81D69">
      <w:pPr>
        <w:pStyle w:val="ListParagraph"/>
        <w:numPr>
          <w:ilvl w:val="0"/>
          <w:numId w:val="3"/>
        </w:numPr>
        <w:spacing w:after="18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Adanya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peningkatan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tanggung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jawab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kepada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pemerintah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wali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murid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masyarakat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pada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umumnya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berkaitan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mutu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baik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intra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maupun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ekstrakurikuler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>. </w:t>
      </w:r>
    </w:p>
    <w:p w:rsidR="00A81D69" w:rsidRPr="00590A3D" w:rsidRDefault="00A81D69" w:rsidP="00A81D69">
      <w:pPr>
        <w:pStyle w:val="ListParagraph"/>
        <w:numPr>
          <w:ilvl w:val="0"/>
          <w:numId w:val="3"/>
        </w:numPr>
        <w:spacing w:after="18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Adanya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kompetisi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sehat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antar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dalam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peningkatan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mutu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pendidikan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melalui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upaya-upaya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inovatif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dukungan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wali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murid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masyarakat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pemerintah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daerah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setempat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>. </w:t>
      </w:r>
    </w:p>
    <w:p w:rsidR="00A81D69" w:rsidRPr="00590A3D" w:rsidRDefault="00A81D69" w:rsidP="00A81D69">
      <w:pPr>
        <w:pStyle w:val="ListParagraph"/>
        <w:numPr>
          <w:ilvl w:val="0"/>
          <w:numId w:val="3"/>
        </w:numPr>
        <w:spacing w:after="18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lastRenderedPageBreak/>
        <w:t>Tumbuhnya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kemandirian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berkurangnya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ketergantungan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di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kalangan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warga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bersifat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adaptif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proaktif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serta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memiliki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jiwa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kewirausahaan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tinggi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>. </w:t>
      </w:r>
    </w:p>
    <w:p w:rsidR="00A81D69" w:rsidRPr="00590A3D" w:rsidRDefault="00A81D69" w:rsidP="00A81D69">
      <w:pPr>
        <w:pStyle w:val="ListParagraph"/>
        <w:numPr>
          <w:ilvl w:val="0"/>
          <w:numId w:val="3"/>
        </w:numPr>
        <w:spacing w:after="18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Terwujudnya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efektif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lebih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men</w:t>
      </w:r>
      <w:r>
        <w:rPr>
          <w:rFonts w:asciiTheme="majorBidi" w:eastAsia="Times New Roman" w:hAnsiTheme="majorBidi" w:cstheme="majorBidi"/>
          <w:sz w:val="24"/>
          <w:szCs w:val="24"/>
        </w:rPr>
        <w:t>e</w:t>
      </w:r>
      <w:r w:rsidRPr="00590A3D">
        <w:rPr>
          <w:rFonts w:asciiTheme="majorBidi" w:eastAsia="Times New Roman" w:hAnsiTheme="majorBidi" w:cstheme="majorBidi"/>
          <w:sz w:val="24"/>
          <w:szCs w:val="24"/>
        </w:rPr>
        <w:t>kankan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pada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mengetahui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(learning to know),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berkarya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(learning to do),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menjadi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diri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sendiri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(learning to be)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belajar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hidup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bersama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90A3D">
        <w:rPr>
          <w:rFonts w:asciiTheme="majorBidi" w:eastAsia="Times New Roman" w:hAnsiTheme="majorBidi" w:cstheme="majorBidi"/>
          <w:sz w:val="24"/>
          <w:szCs w:val="24"/>
        </w:rPr>
        <w:t>harmonis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590A3D">
        <w:rPr>
          <w:rFonts w:asciiTheme="majorBidi" w:eastAsia="Times New Roman" w:hAnsiTheme="majorBidi" w:cstheme="majorBidi"/>
          <w:sz w:val="24"/>
          <w:szCs w:val="24"/>
        </w:rPr>
        <w:t>learning to live together). </w:t>
      </w:r>
    </w:p>
    <w:p w:rsidR="00A81D69" w:rsidRPr="00590A3D" w:rsidRDefault="00A81D69" w:rsidP="00A81D69">
      <w:pPr>
        <w:pStyle w:val="ListParagraph"/>
        <w:numPr>
          <w:ilvl w:val="0"/>
          <w:numId w:val="3"/>
        </w:numPr>
        <w:spacing w:after="18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Terciptanya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iklim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sekolah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yang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aman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nyaman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tertib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sehingga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pembelajaran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dapat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berlangsung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tenang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menyenangkan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>. </w:t>
      </w:r>
    </w:p>
    <w:p w:rsidR="00A81D69" w:rsidRPr="00A81D69" w:rsidRDefault="00A81D69" w:rsidP="00A81D69">
      <w:pPr>
        <w:pStyle w:val="ListParagraph"/>
        <w:numPr>
          <w:ilvl w:val="0"/>
          <w:numId w:val="3"/>
        </w:num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Adanya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proses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evaluasi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perbaikan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secara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590A3D">
        <w:rPr>
          <w:rFonts w:asciiTheme="majorBidi" w:eastAsia="Times New Roman" w:hAnsiTheme="majorBidi" w:cstheme="majorBidi"/>
          <w:sz w:val="24"/>
          <w:szCs w:val="24"/>
        </w:rPr>
        <w:t>berkelanjutan</w:t>
      </w:r>
      <w:proofErr w:type="spellEnd"/>
      <w:r w:rsidRPr="00590A3D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A81D69" w:rsidRDefault="00A81D69" w:rsidP="00A81D69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D69" w:rsidRDefault="00A81D69" w:rsidP="00A81D69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KTSP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guru, draft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mumpuni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diapkai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KBK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KTSP</w:t>
      </w:r>
    </w:p>
    <w:tbl>
      <w:tblPr>
        <w:tblW w:w="84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4"/>
        <w:gridCol w:w="3450"/>
        <w:gridCol w:w="3016"/>
      </w:tblGrid>
      <w:tr w:rsidR="00A81D69" w:rsidRPr="00590A3D" w:rsidTr="00DE4693">
        <w:trPr>
          <w:tblCellSpacing w:w="0" w:type="dxa"/>
          <w:jc w:val="center"/>
        </w:trPr>
        <w:tc>
          <w:tcPr>
            <w:tcW w:w="2024" w:type="dxa"/>
            <w:hideMark/>
          </w:tcPr>
          <w:p w:rsidR="00A81D69" w:rsidRPr="00590A3D" w:rsidRDefault="00A81D69" w:rsidP="00DE4693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  <w:b/>
                <w:bCs/>
              </w:rPr>
              <w:t>ASPEK</w:t>
            </w:r>
          </w:p>
        </w:tc>
        <w:tc>
          <w:tcPr>
            <w:tcW w:w="3450" w:type="dxa"/>
            <w:hideMark/>
          </w:tcPr>
          <w:p w:rsidR="00A81D69" w:rsidRPr="00590A3D" w:rsidRDefault="00A81D69" w:rsidP="00DE4693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  <w:b/>
                <w:bCs/>
              </w:rPr>
              <w:t>KURIKULUM 2004</w:t>
            </w:r>
          </w:p>
        </w:tc>
        <w:tc>
          <w:tcPr>
            <w:tcW w:w="3016" w:type="dxa"/>
            <w:hideMark/>
          </w:tcPr>
          <w:p w:rsidR="00A81D69" w:rsidRPr="00590A3D" w:rsidRDefault="00A81D69" w:rsidP="00DE4693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  <w:b/>
                <w:bCs/>
              </w:rPr>
              <w:t>KURIKULUM 2006</w:t>
            </w:r>
          </w:p>
        </w:tc>
      </w:tr>
      <w:tr w:rsidR="00A81D69" w:rsidRPr="00590A3D" w:rsidTr="00DE4693">
        <w:trPr>
          <w:tblCellSpacing w:w="0" w:type="dxa"/>
          <w:jc w:val="center"/>
        </w:trPr>
        <w:tc>
          <w:tcPr>
            <w:tcW w:w="2024" w:type="dxa"/>
            <w:hideMark/>
          </w:tcPr>
          <w:p w:rsidR="00A81D69" w:rsidRPr="00590A3D" w:rsidRDefault="00A81D69" w:rsidP="00DE4693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Landasan Hukum</w:t>
            </w:r>
          </w:p>
        </w:tc>
        <w:tc>
          <w:tcPr>
            <w:tcW w:w="3450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Tap MPR/GBHN</w:t>
            </w:r>
            <w:r w:rsidRPr="00590A3D">
              <w:rPr>
                <w:rStyle w:val="apple-converted-space"/>
                <w:rFonts w:asciiTheme="majorBidi" w:hAnsiTheme="majorBidi" w:cstheme="majorBidi"/>
              </w:rPr>
              <w:t> </w:t>
            </w:r>
            <w:r w:rsidRPr="00590A3D">
              <w:rPr>
                <w:rFonts w:asciiTheme="majorBidi" w:hAnsiTheme="majorBidi" w:cstheme="majorBidi"/>
              </w:rPr>
              <w:t>Tahun 1999-2004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UU No. 20/1999 – Pemerintah-an Daerah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UU Sisdiknas No 2/1989 kemudian diganti dengan UU No. 20/2003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4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PP No. 25 Tahun 2000tentang pembagian kewenangan</w:t>
            </w:r>
          </w:p>
        </w:tc>
        <w:tc>
          <w:tcPr>
            <w:tcW w:w="3016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UU No. 20/2003 – Sisdiknas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PP No. 19/2005 – SPN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Permendiknas No. 22/2006 – Standar Isi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5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Permendiknas No. 23/2006 – Standar Kompetensi Lulusan</w:t>
            </w:r>
          </w:p>
        </w:tc>
      </w:tr>
      <w:tr w:rsidR="00A81D69" w:rsidRPr="00590A3D" w:rsidTr="00DE4693">
        <w:trPr>
          <w:tblCellSpacing w:w="0" w:type="dxa"/>
          <w:jc w:val="center"/>
        </w:trPr>
        <w:tc>
          <w:tcPr>
            <w:tcW w:w="2024" w:type="dxa"/>
            <w:hideMark/>
          </w:tcPr>
          <w:p w:rsidR="00A81D69" w:rsidRPr="00590A3D" w:rsidRDefault="00A81D69" w:rsidP="00DE4693">
            <w:pPr>
              <w:pStyle w:val="NormalWeb"/>
              <w:spacing w:after="0" w:afterAutospacing="0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Implementasi</w:t>
            </w:r>
            <w:r w:rsidRPr="00590A3D">
              <w:rPr>
                <w:rStyle w:val="apple-converted-space"/>
                <w:rFonts w:asciiTheme="majorBidi" w:hAnsiTheme="majorBidi" w:cstheme="majorBidi"/>
              </w:rPr>
              <w:t> </w:t>
            </w:r>
            <w:r w:rsidRPr="00590A3D">
              <w:rPr>
                <w:rFonts w:asciiTheme="majorBidi" w:hAnsiTheme="majorBidi" w:cstheme="majorBidi"/>
              </w:rPr>
              <w:t>/</w:t>
            </w:r>
          </w:p>
          <w:p w:rsidR="00A81D69" w:rsidRPr="00590A3D" w:rsidRDefault="00A81D69" w:rsidP="00DE4693">
            <w:pPr>
              <w:pStyle w:val="NormalWeb"/>
              <w:spacing w:after="0" w:afterAutospacing="0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Pelaksanaan</w:t>
            </w:r>
          </w:p>
          <w:p w:rsidR="00A81D69" w:rsidRPr="00590A3D" w:rsidRDefault="00A81D69" w:rsidP="00DE4693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lastRenderedPageBreak/>
              <w:t>Kurikulum</w:t>
            </w:r>
          </w:p>
        </w:tc>
        <w:tc>
          <w:tcPr>
            <w:tcW w:w="3450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lastRenderedPageBreak/>
              <w:t>Bukan dengan Keputusan/ Peraturan Mendiknas RI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 xml:space="preserve">Keputusan Dirjen Dikdasmen </w:t>
            </w:r>
            <w:r w:rsidRPr="00590A3D">
              <w:rPr>
                <w:rFonts w:asciiTheme="majorBidi" w:hAnsiTheme="majorBidi" w:cstheme="majorBidi"/>
              </w:rPr>
              <w:lastRenderedPageBreak/>
              <w:t>No.399a/C.C2/Kep/DS/2004 Tahun 2004.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Keputusan Direktur</w:t>
            </w:r>
            <w:r w:rsidRPr="00590A3D">
              <w:rPr>
                <w:rStyle w:val="apple-converted-space"/>
                <w:rFonts w:asciiTheme="majorBidi" w:hAnsiTheme="majorBidi" w:cstheme="majorBidi"/>
              </w:rPr>
              <w:t> </w:t>
            </w:r>
            <w:r w:rsidRPr="00590A3D">
              <w:rPr>
                <w:rFonts w:asciiTheme="majorBidi" w:hAnsiTheme="majorBidi" w:cstheme="majorBidi"/>
              </w:rPr>
              <w:t>Dikme-num No. 766a/C4/MN/2003 Tahun 2003, dan No.</w:t>
            </w:r>
            <w:r w:rsidRPr="00590A3D">
              <w:rPr>
                <w:rStyle w:val="apple-converted-space"/>
                <w:rFonts w:asciiTheme="majorBidi" w:hAnsiTheme="majorBidi" w:cstheme="majorBidi"/>
              </w:rPr>
              <w:t> </w:t>
            </w:r>
            <w:r w:rsidRPr="00590A3D">
              <w:rPr>
                <w:rFonts w:asciiTheme="majorBidi" w:hAnsiTheme="majorBidi" w:cstheme="majorBidi"/>
              </w:rPr>
              <w:t>1247a/ C4/MN/2003 Tahun 2003.</w:t>
            </w:r>
          </w:p>
        </w:tc>
        <w:tc>
          <w:tcPr>
            <w:tcW w:w="3016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7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lastRenderedPageBreak/>
              <w:t xml:space="preserve">Peraturan Mendiknas RI No. 24/2006 tentang Pelaksanaan Peraturan Menteri No. 22 tentang </w:t>
            </w:r>
            <w:r w:rsidRPr="00590A3D">
              <w:rPr>
                <w:rFonts w:asciiTheme="majorBidi" w:hAnsiTheme="majorBidi" w:cstheme="majorBidi"/>
              </w:rPr>
              <w:lastRenderedPageBreak/>
              <w:t>SI dan No. 23 tentang SKL</w:t>
            </w:r>
          </w:p>
        </w:tc>
      </w:tr>
      <w:tr w:rsidR="00A81D69" w:rsidRPr="00590A3D" w:rsidTr="00DE4693">
        <w:trPr>
          <w:trHeight w:val="4434"/>
          <w:tblCellSpacing w:w="0" w:type="dxa"/>
          <w:jc w:val="center"/>
        </w:trPr>
        <w:tc>
          <w:tcPr>
            <w:tcW w:w="2024" w:type="dxa"/>
            <w:hideMark/>
          </w:tcPr>
          <w:p w:rsidR="00A81D69" w:rsidRPr="00590A3D" w:rsidRDefault="00A81D69" w:rsidP="00DE469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Sifat</w:t>
            </w:r>
            <w:proofErr w:type="spellEnd"/>
            <w:r w:rsidRPr="00590A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Cenderung Sentralisme Pendidikan : Kurikulum disusun oleh Tim Pusat secara rinci; Daerah/Sekolah hanya melaksanakan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8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Kurikulum disusun rinci oleh Tim Pusat (Ditjen</w:t>
            </w:r>
            <w:r w:rsidRPr="00590A3D">
              <w:rPr>
                <w:rStyle w:val="apple-converted-space"/>
                <w:rFonts w:asciiTheme="majorBidi" w:hAnsiTheme="majorBidi" w:cstheme="majorBidi"/>
              </w:rPr>
              <w:t> </w:t>
            </w:r>
            <w:r w:rsidRPr="00590A3D">
              <w:rPr>
                <w:rFonts w:asciiTheme="majorBidi" w:hAnsiTheme="majorBidi" w:cstheme="majorBidi"/>
              </w:rPr>
              <w:t>Dikmenum/ Dikmenjur dan Puskur)</w:t>
            </w:r>
          </w:p>
        </w:tc>
        <w:tc>
          <w:tcPr>
            <w:tcW w:w="3016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9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Cenderung Desentralisme Pendidikan : Kerangka Dasar Kurikulum disusun oleh Tim Pusat; Daerah</w:t>
            </w:r>
            <w:r w:rsidRPr="00590A3D">
              <w:rPr>
                <w:rStyle w:val="apple-converted-space"/>
                <w:rFonts w:asciiTheme="majorBidi" w:hAnsiTheme="majorBidi" w:cstheme="majorBidi"/>
              </w:rPr>
              <w:t> </w:t>
            </w:r>
            <w:r w:rsidRPr="00590A3D">
              <w:rPr>
                <w:rFonts w:asciiTheme="majorBidi" w:hAnsiTheme="majorBidi" w:cstheme="majorBidi"/>
              </w:rPr>
              <w:t>dan Sekolah dapat mengembangkan lebih lanjut.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9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Kurikulum merupakan kerangka dasar oleh Tim BSNP</w:t>
            </w:r>
          </w:p>
        </w:tc>
      </w:tr>
      <w:tr w:rsidR="00A81D69" w:rsidRPr="00590A3D" w:rsidTr="00DE4693">
        <w:trPr>
          <w:tblCellSpacing w:w="0" w:type="dxa"/>
          <w:jc w:val="center"/>
        </w:trPr>
        <w:tc>
          <w:tcPr>
            <w:tcW w:w="2024" w:type="dxa"/>
            <w:hideMark/>
          </w:tcPr>
          <w:p w:rsidR="00A81D69" w:rsidRPr="00590A3D" w:rsidRDefault="00A81D69" w:rsidP="00DE469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Struktur</w:t>
            </w:r>
            <w:proofErr w:type="spellEnd"/>
          </w:p>
        </w:tc>
        <w:tc>
          <w:tcPr>
            <w:tcW w:w="3450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10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Berubahan relatif banyak dibandingkan kurikulum sebelumnya (1994 suplemen 1999)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0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Ada perubahan nama mata pelajaran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0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Ada penambahan mata pelajaran (TIK) atau penggabungan mata pelajaran (KN dan PS di SD)</w:t>
            </w:r>
          </w:p>
        </w:tc>
        <w:tc>
          <w:tcPr>
            <w:tcW w:w="3016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11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Penambahan mata pelajaran untuk Mulok dan</w:t>
            </w:r>
            <w:r w:rsidRPr="00590A3D">
              <w:rPr>
                <w:rStyle w:val="apple-converted-space"/>
                <w:rFonts w:asciiTheme="majorBidi" w:hAnsiTheme="majorBidi" w:cstheme="majorBidi"/>
              </w:rPr>
              <w:t> </w:t>
            </w:r>
            <w:r w:rsidRPr="00590A3D">
              <w:rPr>
                <w:rFonts w:asciiTheme="majorBidi" w:hAnsiTheme="majorBidi" w:cstheme="majorBidi"/>
              </w:rPr>
              <w:t>Pengem-bangan diri untuk semua jenjang sekolah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1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Ada pengurangan mata pelajaran (Misal TIK di SD)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1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Ada perubahan nama mata pelajaran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1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KN dan IPS di SD dipisah lagi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1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Ada perubahan jumlah jam pelajaran setiap mata pelajaran</w:t>
            </w:r>
          </w:p>
        </w:tc>
      </w:tr>
      <w:tr w:rsidR="00A81D69" w:rsidRPr="00590A3D" w:rsidTr="00DE4693">
        <w:trPr>
          <w:tblCellSpacing w:w="0" w:type="dxa"/>
          <w:jc w:val="center"/>
        </w:trPr>
        <w:tc>
          <w:tcPr>
            <w:tcW w:w="2024" w:type="dxa"/>
            <w:hideMark/>
          </w:tcPr>
          <w:p w:rsidR="00A81D69" w:rsidRPr="00590A3D" w:rsidRDefault="00A81D69" w:rsidP="00DE469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Beban</w:t>
            </w:r>
            <w:proofErr w:type="spellEnd"/>
            <w:r w:rsidRPr="00590A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Belajar</w:t>
            </w:r>
            <w:proofErr w:type="spellEnd"/>
          </w:p>
        </w:tc>
        <w:tc>
          <w:tcPr>
            <w:tcW w:w="3450" w:type="dxa"/>
            <w:hideMark/>
          </w:tcPr>
          <w:p w:rsidR="00A81D69" w:rsidRPr="00590A3D" w:rsidRDefault="00A81D69" w:rsidP="00DE4693">
            <w:pPr>
              <w:pStyle w:val="NormalWeb"/>
              <w:spacing w:after="0" w:afterAutospacing="0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Jumlah Jam/minggu :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2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SD/MI = 26-32/minggu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2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SMP/MTs = 32/minggu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2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lastRenderedPageBreak/>
              <w:t>SMA/SMK = 38-39/minggu</w:t>
            </w:r>
          </w:p>
          <w:p w:rsidR="00A81D69" w:rsidRPr="00590A3D" w:rsidRDefault="00A81D69" w:rsidP="00DE4693">
            <w:pPr>
              <w:pStyle w:val="NormalWeb"/>
              <w:spacing w:after="0" w:afterAutospacing="0"/>
              <w:ind w:left="6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Lama belajar per 1 JP: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2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SD</w:t>
            </w:r>
            <w:r w:rsidRPr="00590A3D">
              <w:rPr>
                <w:rStyle w:val="apple-converted-space"/>
                <w:rFonts w:asciiTheme="majorBidi" w:hAnsiTheme="majorBidi" w:cstheme="majorBidi"/>
              </w:rPr>
              <w:t> </w:t>
            </w:r>
            <w:r w:rsidRPr="00590A3D">
              <w:rPr>
                <w:rFonts w:asciiTheme="majorBidi" w:hAnsiTheme="majorBidi" w:cstheme="majorBidi"/>
              </w:rPr>
              <w:t>= 35 menit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2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SMP = 40 menit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2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SMA/MA = 45 menit</w:t>
            </w:r>
          </w:p>
        </w:tc>
        <w:tc>
          <w:tcPr>
            <w:tcW w:w="3016" w:type="dxa"/>
            <w:hideMark/>
          </w:tcPr>
          <w:p w:rsidR="00A81D69" w:rsidRPr="00590A3D" w:rsidRDefault="00A81D69" w:rsidP="00DE4693">
            <w:pPr>
              <w:pStyle w:val="NormalWeb"/>
              <w:spacing w:after="0" w:afterAutospacing="0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lastRenderedPageBreak/>
              <w:t>Jumlah Jam/minggu :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SD/MI 1-3 = 27/minggu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SD/MI 4-6 = 32/minggu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lastRenderedPageBreak/>
              <w:t>SMP/MTs = 32/minggu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SMA/MA= 38-39/minggu</w:t>
            </w:r>
          </w:p>
          <w:p w:rsidR="00A81D69" w:rsidRPr="00590A3D" w:rsidRDefault="00A81D69" w:rsidP="00DE4693">
            <w:pPr>
              <w:pStyle w:val="NormalWeb"/>
              <w:spacing w:after="0" w:afterAutospacing="0"/>
              <w:ind w:left="2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Lama belajar per 1 JP: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SD/MI</w:t>
            </w:r>
            <w:r w:rsidRPr="00590A3D">
              <w:rPr>
                <w:rStyle w:val="apple-converted-space"/>
                <w:rFonts w:asciiTheme="majorBidi" w:hAnsiTheme="majorBidi" w:cstheme="majorBidi"/>
              </w:rPr>
              <w:t> </w:t>
            </w:r>
            <w:r w:rsidRPr="00590A3D">
              <w:rPr>
                <w:rFonts w:asciiTheme="majorBidi" w:hAnsiTheme="majorBidi" w:cstheme="majorBidi"/>
              </w:rPr>
              <w:t>= 35 menit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SMP/MTs = 40 menit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SMA/MA = 45 menit</w:t>
            </w:r>
          </w:p>
        </w:tc>
      </w:tr>
      <w:tr w:rsidR="00A81D69" w:rsidRPr="00590A3D" w:rsidTr="00DE4693">
        <w:trPr>
          <w:tblCellSpacing w:w="0" w:type="dxa"/>
          <w:jc w:val="center"/>
        </w:trPr>
        <w:tc>
          <w:tcPr>
            <w:tcW w:w="2024" w:type="dxa"/>
            <w:hideMark/>
          </w:tcPr>
          <w:p w:rsidR="00A81D69" w:rsidRPr="00590A3D" w:rsidRDefault="00A81D69" w:rsidP="00DE4693">
            <w:pPr>
              <w:pStyle w:val="NormalWeb"/>
              <w:spacing w:after="0" w:afterAutospacing="0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lastRenderedPageBreak/>
              <w:t>Pengembangan</w:t>
            </w:r>
          </w:p>
          <w:p w:rsidR="00A81D69" w:rsidRPr="00590A3D" w:rsidRDefault="00A81D69" w:rsidP="00DE4693">
            <w:pPr>
              <w:pStyle w:val="NormalWeb"/>
              <w:spacing w:after="0" w:afterAutospacing="0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Kurikulum lebih</w:t>
            </w:r>
          </w:p>
          <w:p w:rsidR="00A81D69" w:rsidRPr="00590A3D" w:rsidRDefault="00A81D69" w:rsidP="00DE4693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Lanjut</w:t>
            </w:r>
          </w:p>
        </w:tc>
        <w:tc>
          <w:tcPr>
            <w:tcW w:w="3450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14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Hanya sekolah yang mampu dan memenuhi syarat dapat mengembangkan KTSP.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4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Guru membuat silabus atas dasar Kurikulum Nasional dan RP/Skenario Pembelajaran</w:t>
            </w:r>
          </w:p>
        </w:tc>
        <w:tc>
          <w:tcPr>
            <w:tcW w:w="3016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15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Semua sekolah /satuan pendidikan wajib membuat KTSP.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5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Silabus merupakan bagian tidak terpisahkan dari KTSP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5"/>
              </w:numPr>
              <w:tabs>
                <w:tab w:val="clear" w:pos="720"/>
              </w:tabs>
              <w:spacing w:after="0" w:afterAutospacing="0"/>
              <w:ind w:left="381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Guru harus membuat Rencana Pelaksanaan Pembelajaran (RPP)</w:t>
            </w:r>
          </w:p>
        </w:tc>
      </w:tr>
      <w:tr w:rsidR="00A81D69" w:rsidRPr="00590A3D" w:rsidTr="00DE4693">
        <w:trPr>
          <w:tblCellSpacing w:w="0" w:type="dxa"/>
          <w:jc w:val="center"/>
        </w:trPr>
        <w:tc>
          <w:tcPr>
            <w:tcW w:w="2024" w:type="dxa"/>
            <w:hideMark/>
          </w:tcPr>
          <w:p w:rsidR="00A81D69" w:rsidRPr="00590A3D" w:rsidRDefault="00A81D69" w:rsidP="00DE4693">
            <w:pPr>
              <w:pStyle w:val="NormalWeb"/>
              <w:spacing w:after="0" w:afterAutospacing="0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Pedoman</w:t>
            </w:r>
          </w:p>
          <w:p w:rsidR="00A81D69" w:rsidRPr="00590A3D" w:rsidRDefault="00A81D69" w:rsidP="00DE4693">
            <w:pPr>
              <w:pStyle w:val="NormalWeb"/>
              <w:spacing w:after="0" w:afterAutospacing="0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Pelaksanaan</w:t>
            </w:r>
          </w:p>
          <w:p w:rsidR="00A81D69" w:rsidRPr="00590A3D" w:rsidRDefault="00A81D69" w:rsidP="00DE4693">
            <w:pPr>
              <w:pStyle w:val="NormalWeb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Kurikulum</w:t>
            </w:r>
            <w:bookmarkStart w:id="0" w:name="_GoBack"/>
            <w:bookmarkEnd w:id="0"/>
          </w:p>
        </w:tc>
        <w:tc>
          <w:tcPr>
            <w:tcW w:w="3450" w:type="dxa"/>
            <w:hideMark/>
          </w:tcPr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Bahasa Pengantar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Intrakurikuler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Ekstrakurikuler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Remedial, pengayaan, akselerasi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Bimbingan &amp; Konseling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Nilai-nilai Pancasila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Budi Pekerti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Tenaga Kependidikan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Sumber dan Sarana Belajar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Tahap Pelaksanaan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Pengembangan Silabus</w:t>
            </w:r>
          </w:p>
          <w:p w:rsidR="00A81D69" w:rsidRPr="00590A3D" w:rsidRDefault="00A81D69" w:rsidP="00A81D69">
            <w:pPr>
              <w:pStyle w:val="NormalWeb"/>
              <w:numPr>
                <w:ilvl w:val="0"/>
                <w:numId w:val="16"/>
              </w:numPr>
              <w:tabs>
                <w:tab w:val="clear" w:pos="720"/>
              </w:tabs>
              <w:spacing w:after="0" w:afterAutospacing="0"/>
              <w:ind w:left="428"/>
              <w:jc w:val="both"/>
              <w:rPr>
                <w:rFonts w:asciiTheme="majorBidi" w:hAnsiTheme="majorBidi" w:cstheme="majorBidi"/>
              </w:rPr>
            </w:pPr>
            <w:r w:rsidRPr="00590A3D">
              <w:rPr>
                <w:rFonts w:asciiTheme="majorBidi" w:hAnsiTheme="majorBidi" w:cstheme="majorBidi"/>
              </w:rPr>
              <w:t>Pengelolaan Kurikulum</w:t>
            </w:r>
          </w:p>
        </w:tc>
        <w:tc>
          <w:tcPr>
            <w:tcW w:w="3016" w:type="dxa"/>
            <w:hideMark/>
          </w:tcPr>
          <w:p w:rsidR="00A81D69" w:rsidRPr="00590A3D" w:rsidRDefault="00A81D69" w:rsidP="00DE469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590A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terdapat</w:t>
            </w:r>
            <w:proofErr w:type="spellEnd"/>
            <w:r w:rsidRPr="00590A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pedoman</w:t>
            </w:r>
            <w:proofErr w:type="spellEnd"/>
            <w:r w:rsidRPr="00590A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pelaksanaan</w:t>
            </w:r>
            <w:proofErr w:type="spellEnd"/>
            <w:r w:rsidRPr="00590A3D">
              <w:rPr>
                <w:rStyle w:val="apple-converted-space"/>
                <w:rFonts w:asciiTheme="majorBidi" w:hAnsiTheme="majorBidi" w:cstheme="majorBidi"/>
                <w:sz w:val="24"/>
                <w:szCs w:val="24"/>
              </w:rPr>
              <w:t> </w:t>
            </w: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 w:rsidRPr="00590A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seperti</w:t>
            </w:r>
            <w:proofErr w:type="spellEnd"/>
            <w:r w:rsidRPr="00590A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590A3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90A3D">
              <w:rPr>
                <w:rFonts w:asciiTheme="majorBidi" w:hAnsiTheme="majorBidi" w:cstheme="majorBidi"/>
                <w:sz w:val="24"/>
                <w:szCs w:val="24"/>
              </w:rPr>
              <w:t>Kurikulum</w:t>
            </w:r>
            <w:proofErr w:type="spellEnd"/>
            <w:r w:rsidRPr="00590A3D">
              <w:rPr>
                <w:rFonts w:asciiTheme="majorBidi" w:hAnsiTheme="majorBidi" w:cstheme="majorBidi"/>
                <w:sz w:val="24"/>
                <w:szCs w:val="24"/>
              </w:rPr>
              <w:t xml:space="preserve"> 2004.</w:t>
            </w:r>
          </w:p>
        </w:tc>
      </w:tr>
    </w:tbl>
    <w:p w:rsidR="00A81D69" w:rsidRDefault="00A81D69" w:rsidP="00A81D69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D69" w:rsidRPr="00A81D69" w:rsidRDefault="00A81D69" w:rsidP="00A81D69">
      <w:pPr>
        <w:spacing w:after="1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1D69" w:rsidRPr="00A81D69" w:rsidSect="007E4ED6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4257"/>
    <w:multiLevelType w:val="multilevel"/>
    <w:tmpl w:val="89A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33DB6"/>
    <w:multiLevelType w:val="hybridMultilevel"/>
    <w:tmpl w:val="3F0E65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2588A"/>
    <w:multiLevelType w:val="multilevel"/>
    <w:tmpl w:val="BCDE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A45AE"/>
    <w:multiLevelType w:val="hybridMultilevel"/>
    <w:tmpl w:val="F23ECF52"/>
    <w:lvl w:ilvl="0" w:tplc="0B806E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18A49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EC249FF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41AAAA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15800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009CB9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9152889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FD009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DB78129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4">
    <w:nsid w:val="20E93A8D"/>
    <w:multiLevelType w:val="multilevel"/>
    <w:tmpl w:val="DC4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75464A"/>
    <w:multiLevelType w:val="multilevel"/>
    <w:tmpl w:val="7C2E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25367"/>
    <w:multiLevelType w:val="multilevel"/>
    <w:tmpl w:val="A612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CE561D"/>
    <w:multiLevelType w:val="multilevel"/>
    <w:tmpl w:val="6346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C27EB"/>
    <w:multiLevelType w:val="multilevel"/>
    <w:tmpl w:val="5922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2C755D"/>
    <w:multiLevelType w:val="multilevel"/>
    <w:tmpl w:val="70C2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7F165E"/>
    <w:multiLevelType w:val="multilevel"/>
    <w:tmpl w:val="73D6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9948C0"/>
    <w:multiLevelType w:val="multilevel"/>
    <w:tmpl w:val="80A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6E6F35"/>
    <w:multiLevelType w:val="multilevel"/>
    <w:tmpl w:val="1858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A22036"/>
    <w:multiLevelType w:val="multilevel"/>
    <w:tmpl w:val="C3A2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0126C3"/>
    <w:multiLevelType w:val="multilevel"/>
    <w:tmpl w:val="632E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001E50"/>
    <w:multiLevelType w:val="hybridMultilevel"/>
    <w:tmpl w:val="223847EE"/>
    <w:lvl w:ilvl="0" w:tplc="0F58DF0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6"/>
  </w:num>
  <w:num w:numId="5">
    <w:abstractNumId w:val="14"/>
  </w:num>
  <w:num w:numId="6">
    <w:abstractNumId w:val="10"/>
  </w:num>
  <w:num w:numId="7">
    <w:abstractNumId w:val="4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D6"/>
    <w:rsid w:val="007E4ED6"/>
    <w:rsid w:val="00953F0D"/>
    <w:rsid w:val="00A81D6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27C3F-C8B9-489B-9E7C-E6FFE7B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D69"/>
    <w:pPr>
      <w:spacing w:after="0" w:line="240" w:lineRule="auto"/>
    </w:pPr>
    <w:rPr>
      <w:rFonts w:ascii="Tahoma" w:eastAsiaTheme="minorEastAsia" w:hAnsi="Tahoma" w:cs="Tahoma"/>
      <w:sz w:val="16"/>
      <w:szCs w:val="16"/>
      <w:lang w:val="id-ID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D69"/>
    <w:rPr>
      <w:rFonts w:ascii="Tahoma" w:eastAsiaTheme="minorEastAsia" w:hAnsi="Tahoma" w:cs="Tahoma"/>
      <w:sz w:val="16"/>
      <w:szCs w:val="16"/>
      <w:lang w:val="id-ID" w:eastAsia="ja-JP"/>
    </w:rPr>
  </w:style>
  <w:style w:type="character" w:customStyle="1" w:styleId="apple-converted-space">
    <w:name w:val="apple-converted-space"/>
    <w:basedOn w:val="DefaultParagraphFont"/>
    <w:rsid w:val="00A81D69"/>
  </w:style>
  <w:style w:type="paragraph" w:styleId="NormalWeb">
    <w:name w:val="Normal (Web)"/>
    <w:basedOn w:val="Normal"/>
    <w:uiPriority w:val="99"/>
    <w:unhideWhenUsed/>
    <w:rsid w:val="00A8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846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Kawuryani</dc:creator>
  <cp:keywords/>
  <dc:description/>
  <cp:lastModifiedBy>Dwi Kawuryani</cp:lastModifiedBy>
  <cp:revision>2</cp:revision>
  <dcterms:created xsi:type="dcterms:W3CDTF">2016-02-24T04:16:00Z</dcterms:created>
  <dcterms:modified xsi:type="dcterms:W3CDTF">2016-05-13T16:34:00Z</dcterms:modified>
</cp:coreProperties>
</file>