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59"/>
        <w:gridCol w:w="1812"/>
        <w:gridCol w:w="2354"/>
        <w:gridCol w:w="2622"/>
        <w:gridCol w:w="1669"/>
      </w:tblGrid>
      <w:tr w:rsidR="00A2072D" w:rsidTr="00BA7DB0">
        <w:tc>
          <w:tcPr>
            <w:tcW w:w="559" w:type="dxa"/>
          </w:tcPr>
          <w:p w:rsidR="00A2072D" w:rsidRDefault="00A2072D" w:rsidP="00BA7DB0">
            <w:pPr>
              <w:jc w:val="center"/>
              <w:rPr>
                <w:sz w:val="22"/>
                <w:szCs w:val="22"/>
              </w:rPr>
            </w:pPr>
            <w:r>
              <w:rPr>
                <w:sz w:val="22"/>
                <w:szCs w:val="22"/>
              </w:rPr>
              <w:t>No.</w:t>
            </w:r>
          </w:p>
        </w:tc>
        <w:tc>
          <w:tcPr>
            <w:tcW w:w="1812" w:type="dxa"/>
          </w:tcPr>
          <w:p w:rsidR="00A2072D" w:rsidRDefault="00A2072D" w:rsidP="00BA7DB0">
            <w:pPr>
              <w:jc w:val="center"/>
              <w:rPr>
                <w:sz w:val="22"/>
                <w:szCs w:val="22"/>
              </w:rPr>
            </w:pPr>
            <w:r>
              <w:rPr>
                <w:sz w:val="22"/>
                <w:szCs w:val="22"/>
              </w:rPr>
              <w:t>Simbol</w:t>
            </w:r>
          </w:p>
        </w:tc>
        <w:tc>
          <w:tcPr>
            <w:tcW w:w="2354" w:type="dxa"/>
          </w:tcPr>
          <w:p w:rsidR="00A2072D" w:rsidRDefault="00A2072D" w:rsidP="00BA7DB0">
            <w:pPr>
              <w:jc w:val="center"/>
              <w:rPr>
                <w:sz w:val="22"/>
                <w:szCs w:val="22"/>
              </w:rPr>
            </w:pPr>
            <w:r>
              <w:rPr>
                <w:sz w:val="22"/>
                <w:szCs w:val="22"/>
              </w:rPr>
              <w:t>Keterangan</w:t>
            </w:r>
          </w:p>
        </w:tc>
        <w:tc>
          <w:tcPr>
            <w:tcW w:w="2622" w:type="dxa"/>
          </w:tcPr>
          <w:p w:rsidR="00A2072D" w:rsidRDefault="00A2072D" w:rsidP="00BA7DB0">
            <w:pPr>
              <w:jc w:val="center"/>
              <w:rPr>
                <w:sz w:val="22"/>
                <w:szCs w:val="22"/>
              </w:rPr>
            </w:pPr>
            <w:r>
              <w:rPr>
                <w:sz w:val="22"/>
                <w:szCs w:val="22"/>
              </w:rPr>
              <w:t>Kasus CTS</w:t>
            </w:r>
          </w:p>
        </w:tc>
        <w:tc>
          <w:tcPr>
            <w:tcW w:w="1669" w:type="dxa"/>
          </w:tcPr>
          <w:p w:rsidR="00A2072D" w:rsidRDefault="00A2072D" w:rsidP="00BA7DB0">
            <w:pPr>
              <w:jc w:val="center"/>
              <w:rPr>
                <w:sz w:val="22"/>
                <w:szCs w:val="22"/>
              </w:rPr>
            </w:pPr>
            <w:r>
              <w:rPr>
                <w:sz w:val="22"/>
                <w:szCs w:val="22"/>
              </w:rPr>
              <w:t>Kaitan dengan TPB</w:t>
            </w:r>
          </w:p>
        </w:tc>
      </w:tr>
      <w:tr w:rsidR="00A2072D" w:rsidTr="00BA7DB0">
        <w:tc>
          <w:tcPr>
            <w:tcW w:w="559" w:type="dxa"/>
          </w:tcPr>
          <w:p w:rsidR="00A2072D" w:rsidRDefault="00A2072D" w:rsidP="00BA7DB0">
            <w:pPr>
              <w:jc w:val="center"/>
              <w:rPr>
                <w:sz w:val="22"/>
                <w:szCs w:val="22"/>
              </w:rPr>
            </w:pPr>
            <w:r>
              <w:rPr>
                <w:sz w:val="22"/>
                <w:szCs w:val="22"/>
              </w:rPr>
              <w:t>1</w:t>
            </w:r>
          </w:p>
        </w:tc>
        <w:tc>
          <w:tcPr>
            <w:tcW w:w="1812" w:type="dxa"/>
          </w:tcPr>
          <w:p w:rsidR="00A2072D" w:rsidRDefault="00A2072D" w:rsidP="00BA7DB0">
            <w:pPr>
              <w:jc w:val="center"/>
              <w:rPr>
                <w:sz w:val="22"/>
                <w:szCs w:val="22"/>
              </w:rPr>
            </w:pPr>
            <w:r w:rsidRPr="00E066D7">
              <w:rPr>
                <w:sz w:val="22"/>
                <w:szCs w:val="22"/>
                <w:lang w:val="id-ID" w:eastAsia="id-ID"/>
              </w:rPr>
              <w:drawing>
                <wp:anchor distT="0" distB="0" distL="114300" distR="114300" simplePos="0" relativeHeight="251659264" behindDoc="0" locked="0" layoutInCell="1" allowOverlap="1" wp14:anchorId="50B1B0A6" wp14:editId="4BD2A25A">
                  <wp:simplePos x="0" y="0"/>
                  <wp:positionH relativeFrom="column">
                    <wp:posOffset>26670</wp:posOffset>
                  </wp:positionH>
                  <wp:positionV relativeFrom="paragraph">
                    <wp:posOffset>793115</wp:posOffset>
                  </wp:positionV>
                  <wp:extent cx="921385" cy="1106170"/>
                  <wp:effectExtent l="0" t="0" r="0" b="0"/>
                  <wp:wrapTopAndBottom/>
                  <wp:docPr id="4" name="Picture 4" descr="I:\gambar ZEROSICKS\potong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gambar ZEROSICKS\potong baru.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68356" b="56998"/>
                          <a:stretch/>
                        </pic:blipFill>
                        <pic:spPr bwMode="auto">
                          <a:xfrm>
                            <a:off x="0" y="0"/>
                            <a:ext cx="921385" cy="1106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2354" w:type="dxa"/>
          </w:tcPr>
          <w:p w:rsidR="00A2072D" w:rsidRDefault="00A2072D" w:rsidP="00BA7DB0">
            <w:pPr>
              <w:jc w:val="left"/>
              <w:rPr>
                <w:sz w:val="22"/>
                <w:szCs w:val="22"/>
              </w:rPr>
            </w:pPr>
            <w:r>
              <w:rPr>
                <w:sz w:val="22"/>
                <w:szCs w:val="22"/>
              </w:rPr>
              <w:t xml:space="preserve">Masukan: ZE potensi sumber bahaya, Iklim K3 (sikap, norma, intensi), M5PE (man, machine, money, material, method, place, and environment). </w:t>
            </w:r>
          </w:p>
        </w:tc>
        <w:tc>
          <w:tcPr>
            <w:tcW w:w="2622" w:type="dxa"/>
          </w:tcPr>
          <w:p w:rsidR="00A2072D" w:rsidRDefault="00A2072D" w:rsidP="00BA7DB0">
            <w:pPr>
              <w:jc w:val="left"/>
              <w:rPr>
                <w:sz w:val="22"/>
                <w:szCs w:val="22"/>
              </w:rPr>
            </w:pPr>
            <w:r>
              <w:rPr>
                <w:sz w:val="22"/>
                <w:szCs w:val="22"/>
              </w:rPr>
              <w:t>Hazard: jarum suntik dan alat tajam. Mekanis: tersayat, tertusuk.</w:t>
            </w:r>
          </w:p>
          <w:p w:rsidR="00A2072D" w:rsidRDefault="00A2072D" w:rsidP="00BA7DB0">
            <w:pPr>
              <w:jc w:val="left"/>
              <w:rPr>
                <w:sz w:val="22"/>
                <w:szCs w:val="22"/>
              </w:rPr>
            </w:pPr>
            <w:r>
              <w:rPr>
                <w:sz w:val="22"/>
                <w:szCs w:val="22"/>
              </w:rPr>
              <w:t>Biologis: virus, bakteri.</w:t>
            </w:r>
          </w:p>
          <w:p w:rsidR="00A2072D" w:rsidRDefault="00A2072D" w:rsidP="00BA7DB0">
            <w:pPr>
              <w:jc w:val="left"/>
              <w:rPr>
                <w:sz w:val="22"/>
                <w:szCs w:val="22"/>
              </w:rPr>
            </w:pPr>
            <w:r>
              <w:rPr>
                <w:sz w:val="22"/>
                <w:szCs w:val="22"/>
              </w:rPr>
              <w:t>Iklim K3: Persepsi terhadap adanya risiko kerja, persepsi terhadap komitmen pimpinan, persepsi terhadap norma lingkungan kerja, persepsi terhadap adanya tekanan kerja, kemampuan diri, dan keberadaan SMK3.</w:t>
            </w:r>
          </w:p>
          <w:p w:rsidR="00A2072D" w:rsidRDefault="00A2072D" w:rsidP="00BA7DB0">
            <w:pPr>
              <w:jc w:val="left"/>
              <w:rPr>
                <w:sz w:val="22"/>
                <w:szCs w:val="22"/>
              </w:rPr>
            </w:pPr>
            <w:r>
              <w:rPr>
                <w:sz w:val="22"/>
                <w:szCs w:val="22"/>
              </w:rPr>
              <w:t>Meliputi peralatan atau mesin yg digunakan, bahan baku berbahaya, SPO atau metode kerja, tempat dan lingkungan kerja di rumah sakit. Termasuk ketersediaan APD dan wadah penampung limbah benda tajam dan runcing.</w:t>
            </w:r>
          </w:p>
        </w:tc>
        <w:tc>
          <w:tcPr>
            <w:tcW w:w="1669" w:type="dxa"/>
          </w:tcPr>
          <w:p w:rsidR="00A2072D" w:rsidRDefault="00A2072D" w:rsidP="00BA7DB0">
            <w:pPr>
              <w:jc w:val="left"/>
              <w:rPr>
                <w:sz w:val="22"/>
                <w:szCs w:val="22"/>
              </w:rPr>
            </w:pPr>
            <w:r>
              <w:rPr>
                <w:sz w:val="22"/>
                <w:szCs w:val="22"/>
              </w:rPr>
              <w:t>Sikap, Norma, PKP</w:t>
            </w:r>
          </w:p>
        </w:tc>
      </w:tr>
      <w:tr w:rsidR="00A2072D" w:rsidTr="00BA7DB0">
        <w:tc>
          <w:tcPr>
            <w:tcW w:w="559" w:type="dxa"/>
          </w:tcPr>
          <w:p w:rsidR="00A2072D" w:rsidRDefault="00A2072D" w:rsidP="00BA7DB0">
            <w:pPr>
              <w:jc w:val="center"/>
              <w:rPr>
                <w:sz w:val="22"/>
                <w:szCs w:val="22"/>
              </w:rPr>
            </w:pPr>
            <w:r>
              <w:rPr>
                <w:sz w:val="22"/>
                <w:szCs w:val="22"/>
              </w:rPr>
              <w:t>2</w:t>
            </w:r>
          </w:p>
        </w:tc>
        <w:tc>
          <w:tcPr>
            <w:tcW w:w="1812" w:type="dxa"/>
          </w:tcPr>
          <w:p w:rsidR="00A2072D" w:rsidRDefault="00A2072D" w:rsidP="00BA7DB0">
            <w:pPr>
              <w:jc w:val="center"/>
              <w:rPr>
                <w:sz w:val="22"/>
                <w:szCs w:val="22"/>
              </w:rPr>
            </w:pPr>
            <w:r w:rsidRPr="00E066D7">
              <w:rPr>
                <w:sz w:val="22"/>
                <w:szCs w:val="22"/>
                <w:lang w:val="id-ID" w:eastAsia="id-ID"/>
              </w:rPr>
              <w:drawing>
                <wp:inline distT="0" distB="0" distL="0" distR="0" wp14:anchorId="6AAB2C90" wp14:editId="43D9704C">
                  <wp:extent cx="863168" cy="1667865"/>
                  <wp:effectExtent l="0" t="0" r="0" b="8890"/>
                  <wp:docPr id="5" name="Picture 5" descr="I:\gambar ZEROSICKS\potong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gambar ZEROSICKS\potong baru.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114" r="36276" b="36289"/>
                          <a:stretch/>
                        </pic:blipFill>
                        <pic:spPr bwMode="auto">
                          <a:xfrm>
                            <a:off x="0" y="0"/>
                            <a:ext cx="869613" cy="168031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54" w:type="dxa"/>
          </w:tcPr>
          <w:p w:rsidR="00A2072D" w:rsidRDefault="00A2072D" w:rsidP="00BA7DB0">
            <w:pPr>
              <w:jc w:val="left"/>
              <w:rPr>
                <w:sz w:val="22"/>
                <w:szCs w:val="22"/>
              </w:rPr>
            </w:pPr>
            <w:r>
              <w:rPr>
                <w:sz w:val="22"/>
                <w:szCs w:val="22"/>
              </w:rPr>
              <w:t>Tahap pengambilan keputusan mempertimbangkan: Masukan, legal aspek: PMK 66 2016, UU K3 Kemenaker ttg K3. Teori–teori relevan K3, info  hasil analisis risiko sebagai umpan balik.</w:t>
            </w:r>
          </w:p>
        </w:tc>
        <w:tc>
          <w:tcPr>
            <w:tcW w:w="2622" w:type="dxa"/>
          </w:tcPr>
          <w:p w:rsidR="00A2072D" w:rsidRDefault="00A2072D" w:rsidP="00BA7DB0">
            <w:pPr>
              <w:jc w:val="left"/>
              <w:rPr>
                <w:sz w:val="22"/>
                <w:szCs w:val="22"/>
              </w:rPr>
            </w:pPr>
            <w:r>
              <w:rPr>
                <w:sz w:val="22"/>
                <w:szCs w:val="22"/>
              </w:rPr>
              <w:t>Merencanakan tindakan pencegahan CTS mempertimbangkan SPO, dan umpan balik dari hasil analisis risiko di tempat kerja, berdasarkan aturan dan teori terkait. Legal aspek berupa PMK 66 2016 sebagai aturan standar K3 rumah sakit, UU No.1 tahun 1970 sebagai aturan tentang keselamatan kerja, dan Keputusan menteri ketenaga kerjaan tahun 2013.</w:t>
            </w:r>
          </w:p>
        </w:tc>
        <w:tc>
          <w:tcPr>
            <w:tcW w:w="1669" w:type="dxa"/>
          </w:tcPr>
          <w:p w:rsidR="00A2072D" w:rsidRPr="00A9340E" w:rsidRDefault="00A2072D" w:rsidP="00BA7DB0">
            <w:pPr>
              <w:jc w:val="left"/>
              <w:rPr>
                <w:sz w:val="22"/>
                <w:szCs w:val="22"/>
                <w:lang w:val="id-ID"/>
              </w:rPr>
            </w:pPr>
            <w:r>
              <w:rPr>
                <w:sz w:val="22"/>
                <w:szCs w:val="22"/>
                <w:lang w:val="id-ID"/>
              </w:rPr>
              <w:t>SMK3</w:t>
            </w:r>
          </w:p>
        </w:tc>
      </w:tr>
      <w:tr w:rsidR="00A2072D" w:rsidTr="00BA7DB0">
        <w:tc>
          <w:tcPr>
            <w:tcW w:w="559" w:type="dxa"/>
          </w:tcPr>
          <w:p w:rsidR="00A2072D" w:rsidRDefault="00A2072D" w:rsidP="00BA7DB0">
            <w:pPr>
              <w:jc w:val="center"/>
              <w:rPr>
                <w:sz w:val="22"/>
                <w:szCs w:val="22"/>
              </w:rPr>
            </w:pPr>
            <w:r>
              <w:rPr>
                <w:sz w:val="22"/>
                <w:szCs w:val="22"/>
              </w:rPr>
              <w:t>3</w:t>
            </w:r>
          </w:p>
        </w:tc>
        <w:tc>
          <w:tcPr>
            <w:tcW w:w="1812" w:type="dxa"/>
          </w:tcPr>
          <w:p w:rsidR="00A2072D" w:rsidRDefault="00A2072D" w:rsidP="00BA7DB0">
            <w:pPr>
              <w:jc w:val="center"/>
              <w:rPr>
                <w:sz w:val="22"/>
                <w:szCs w:val="22"/>
              </w:rPr>
            </w:pPr>
            <w:r w:rsidRPr="00E066D7">
              <w:rPr>
                <w:sz w:val="22"/>
                <w:szCs w:val="22"/>
                <w:lang w:val="id-ID" w:eastAsia="id-ID"/>
              </w:rPr>
              <w:drawing>
                <wp:anchor distT="0" distB="0" distL="114300" distR="114300" simplePos="0" relativeHeight="251660288" behindDoc="0" locked="0" layoutInCell="1" allowOverlap="1" wp14:anchorId="07B5E13D" wp14:editId="678E9B87">
                  <wp:simplePos x="0" y="0"/>
                  <wp:positionH relativeFrom="column">
                    <wp:posOffset>48971</wp:posOffset>
                  </wp:positionH>
                  <wp:positionV relativeFrom="paragraph">
                    <wp:posOffset>491388</wp:posOffset>
                  </wp:positionV>
                  <wp:extent cx="1003970" cy="647929"/>
                  <wp:effectExtent l="0" t="0" r="5715" b="0"/>
                  <wp:wrapTopAndBottom/>
                  <wp:docPr id="6" name="Picture 6" descr="I:\gambar ZEROSICKS\potong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ambar ZEROSICKS\potong baru.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0474" r="58915"/>
                          <a:stretch/>
                        </pic:blipFill>
                        <pic:spPr bwMode="auto">
                          <a:xfrm>
                            <a:off x="0" y="0"/>
                            <a:ext cx="1003970" cy="647929"/>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354" w:type="dxa"/>
          </w:tcPr>
          <w:p w:rsidR="00A2072D" w:rsidRDefault="00A2072D" w:rsidP="00BA7DB0">
            <w:pPr>
              <w:jc w:val="left"/>
              <w:rPr>
                <w:sz w:val="22"/>
                <w:szCs w:val="22"/>
              </w:rPr>
            </w:pPr>
            <w:r>
              <w:rPr>
                <w:sz w:val="22"/>
                <w:szCs w:val="22"/>
              </w:rPr>
              <w:t xml:space="preserve">Tahap proses:  </w:t>
            </w:r>
            <w:r>
              <w:rPr>
                <w:i/>
                <w:sz w:val="22"/>
                <w:szCs w:val="22"/>
              </w:rPr>
              <w:t>Solution (M5PE)</w:t>
            </w:r>
            <w:r>
              <w:rPr>
                <w:sz w:val="22"/>
                <w:szCs w:val="22"/>
              </w:rPr>
              <w:t xml:space="preserve"> </w:t>
            </w:r>
            <w:r>
              <w:rPr>
                <w:i/>
                <w:sz w:val="22"/>
                <w:szCs w:val="22"/>
              </w:rPr>
              <w:t>investigation, integration, implementation, culture, climate, knowledge  standardization.</w:t>
            </w:r>
            <w:r>
              <w:rPr>
                <w:sz w:val="22"/>
                <w:szCs w:val="22"/>
              </w:rPr>
              <w:t xml:space="preserve"> </w:t>
            </w:r>
          </w:p>
        </w:tc>
        <w:tc>
          <w:tcPr>
            <w:tcW w:w="2622" w:type="dxa"/>
          </w:tcPr>
          <w:p w:rsidR="00A2072D" w:rsidRDefault="00A2072D" w:rsidP="00BA7DB0">
            <w:pPr>
              <w:jc w:val="left"/>
              <w:rPr>
                <w:sz w:val="22"/>
                <w:szCs w:val="22"/>
              </w:rPr>
            </w:pPr>
            <w:r>
              <w:rPr>
                <w:sz w:val="22"/>
                <w:szCs w:val="22"/>
              </w:rPr>
              <w:t xml:space="preserve">Investigasi solusi untuk pemecahan alternatif atas kejadian yang  disebabkan oleh hazard, kemudian di integrasikan dengan SMK3. implementasi solusi alternatif memperhatikan aspek </w:t>
            </w:r>
            <w:r>
              <w:rPr>
                <w:sz w:val="22"/>
                <w:szCs w:val="22"/>
              </w:rPr>
              <w:lastRenderedPageBreak/>
              <w:t>intensi, budaya dan iklim K3.</w:t>
            </w:r>
          </w:p>
          <w:p w:rsidR="00A2072D" w:rsidRDefault="00A2072D" w:rsidP="00BA7DB0">
            <w:pPr>
              <w:jc w:val="left"/>
              <w:rPr>
                <w:sz w:val="22"/>
                <w:szCs w:val="22"/>
              </w:rPr>
            </w:pPr>
            <w:r>
              <w:rPr>
                <w:sz w:val="22"/>
                <w:szCs w:val="22"/>
              </w:rPr>
              <w:t xml:space="preserve">Pembentukan iklim yang kondusif agar semua merasa nyaman dalam penerapan SPO pencegahan CTS. Perilaku aman dapat dilakukan secara berkelanjutan agar menjadi kebiasaan. Kebiasaan yg sudah internalisasi akan menjadi karakter yg mengutamakan selamat dan sehat. Sekelompok perawat yg sadar dan memiliki kebiasaan dan karakter yg sama berarti sudah menunjukkan adanya budaya K3 dalam pencegahan CTS. </w:t>
            </w:r>
          </w:p>
        </w:tc>
        <w:tc>
          <w:tcPr>
            <w:tcW w:w="1669" w:type="dxa"/>
          </w:tcPr>
          <w:p w:rsidR="00A2072D" w:rsidRPr="00A9340E" w:rsidRDefault="00A2072D" w:rsidP="00BA7DB0">
            <w:pPr>
              <w:jc w:val="left"/>
              <w:rPr>
                <w:sz w:val="22"/>
                <w:szCs w:val="22"/>
                <w:lang w:val="id-ID"/>
              </w:rPr>
            </w:pPr>
            <w:r>
              <w:rPr>
                <w:sz w:val="22"/>
                <w:szCs w:val="22"/>
                <w:lang w:val="id-ID"/>
              </w:rPr>
              <w:lastRenderedPageBreak/>
              <w:t>Norma subjektif, SMK3.</w:t>
            </w:r>
          </w:p>
        </w:tc>
      </w:tr>
      <w:tr w:rsidR="00A2072D" w:rsidTr="00BA7DB0">
        <w:tc>
          <w:tcPr>
            <w:tcW w:w="559" w:type="dxa"/>
          </w:tcPr>
          <w:p w:rsidR="00A2072D" w:rsidRDefault="00A2072D" w:rsidP="00BA7DB0">
            <w:pPr>
              <w:jc w:val="center"/>
              <w:rPr>
                <w:sz w:val="22"/>
                <w:szCs w:val="22"/>
              </w:rPr>
            </w:pPr>
            <w:r>
              <w:rPr>
                <w:sz w:val="22"/>
                <w:szCs w:val="22"/>
              </w:rPr>
              <w:t>4</w:t>
            </w:r>
          </w:p>
        </w:tc>
        <w:tc>
          <w:tcPr>
            <w:tcW w:w="1812" w:type="dxa"/>
          </w:tcPr>
          <w:p w:rsidR="00A2072D" w:rsidRDefault="00A2072D" w:rsidP="00BA7DB0">
            <w:pPr>
              <w:jc w:val="center"/>
              <w:rPr>
                <w:sz w:val="22"/>
                <w:szCs w:val="22"/>
              </w:rPr>
            </w:pPr>
            <w:r w:rsidRPr="00E066D7">
              <w:rPr>
                <w:sz w:val="22"/>
                <w:szCs w:val="22"/>
                <w:lang w:val="id-ID" w:eastAsia="id-ID"/>
              </w:rPr>
              <w:drawing>
                <wp:anchor distT="0" distB="0" distL="114300" distR="114300" simplePos="0" relativeHeight="251661312" behindDoc="0" locked="0" layoutInCell="1" allowOverlap="1" wp14:anchorId="64F176FD" wp14:editId="1E6EA5CC">
                  <wp:simplePos x="0" y="0"/>
                  <wp:positionH relativeFrom="column">
                    <wp:posOffset>63220</wp:posOffset>
                  </wp:positionH>
                  <wp:positionV relativeFrom="paragraph">
                    <wp:posOffset>402336</wp:posOffset>
                  </wp:positionV>
                  <wp:extent cx="929031" cy="1666081"/>
                  <wp:effectExtent l="0" t="0" r="4445" b="0"/>
                  <wp:wrapTopAndBottom/>
                  <wp:docPr id="7" name="Picture 7" descr="I:\gambar ZEROSICKS\potong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gambar ZEROSICKS\potong baru.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3434" r="371" b="36758"/>
                          <a:stretch/>
                        </pic:blipFill>
                        <pic:spPr bwMode="auto">
                          <a:xfrm>
                            <a:off x="0" y="0"/>
                            <a:ext cx="929031" cy="1666081"/>
                          </a:xfrm>
                          <a:prstGeom prst="corner">
                            <a:avLst/>
                          </a:prstGeom>
                          <a:noFill/>
                          <a:ln>
                            <a:noFill/>
                          </a:ln>
                          <a:extLst>
                            <a:ext uri="{53640926-AAD7-44D8-BBD7-CCE9431645EC}">
                              <a14:shadowObscured xmlns:a14="http://schemas.microsoft.com/office/drawing/2010/main"/>
                            </a:ext>
                          </a:extLst>
                        </pic:spPr>
                      </pic:pic>
                    </a:graphicData>
                  </a:graphic>
                </wp:anchor>
              </w:drawing>
            </w:r>
          </w:p>
        </w:tc>
        <w:tc>
          <w:tcPr>
            <w:tcW w:w="2354" w:type="dxa"/>
          </w:tcPr>
          <w:p w:rsidR="00A2072D" w:rsidRPr="00A62A25" w:rsidRDefault="00A2072D" w:rsidP="00BA7DB0">
            <w:pPr>
              <w:jc w:val="left"/>
              <w:rPr>
                <w:sz w:val="22"/>
                <w:szCs w:val="22"/>
              </w:rPr>
            </w:pPr>
            <w:r>
              <w:rPr>
                <w:sz w:val="22"/>
                <w:szCs w:val="22"/>
              </w:rPr>
              <w:t xml:space="preserve">Tahap </w:t>
            </w:r>
            <w:r>
              <w:rPr>
                <w:i/>
                <w:sz w:val="22"/>
                <w:szCs w:val="22"/>
              </w:rPr>
              <w:t xml:space="preserve">risk observation </w:t>
            </w:r>
            <w:r>
              <w:rPr>
                <w:sz w:val="22"/>
                <w:szCs w:val="22"/>
              </w:rPr>
              <w:t xml:space="preserve">menganalisis KAK dan PAK, dan risiko terkait </w:t>
            </w:r>
            <w:r w:rsidRPr="00005378">
              <w:rPr>
                <w:i/>
                <w:sz w:val="22"/>
                <w:szCs w:val="22"/>
              </w:rPr>
              <w:t>hazard</w:t>
            </w:r>
          </w:p>
        </w:tc>
        <w:tc>
          <w:tcPr>
            <w:tcW w:w="2622" w:type="dxa"/>
          </w:tcPr>
          <w:p w:rsidR="00A2072D" w:rsidRDefault="00A2072D" w:rsidP="00BA7DB0">
            <w:pPr>
              <w:jc w:val="left"/>
              <w:rPr>
                <w:sz w:val="22"/>
                <w:szCs w:val="22"/>
              </w:rPr>
            </w:pPr>
            <w:r>
              <w:rPr>
                <w:sz w:val="22"/>
                <w:szCs w:val="22"/>
              </w:rPr>
              <w:t xml:space="preserve">Analisis kecelakaan dan penyakit akibat kerja, dengan menggunakan metode seperti </w:t>
            </w:r>
            <w:r>
              <w:rPr>
                <w:i/>
                <w:sz w:val="22"/>
                <w:szCs w:val="22"/>
              </w:rPr>
              <w:t xml:space="preserve">root cause analisis </w:t>
            </w:r>
            <w:r>
              <w:rPr>
                <w:sz w:val="22"/>
                <w:szCs w:val="22"/>
              </w:rPr>
              <w:t>(RCA)</w:t>
            </w:r>
            <w:r>
              <w:rPr>
                <w:i/>
                <w:sz w:val="22"/>
                <w:szCs w:val="22"/>
              </w:rPr>
              <w:t xml:space="preserve">, fault tree analisis </w:t>
            </w:r>
            <w:r>
              <w:rPr>
                <w:sz w:val="22"/>
                <w:szCs w:val="22"/>
              </w:rPr>
              <w:t xml:space="preserve">(FTA), </w:t>
            </w:r>
            <w:r>
              <w:rPr>
                <w:i/>
                <w:sz w:val="22"/>
                <w:szCs w:val="22"/>
              </w:rPr>
              <w:t xml:space="preserve">job safety analisis </w:t>
            </w:r>
            <w:r>
              <w:rPr>
                <w:sz w:val="22"/>
                <w:szCs w:val="22"/>
              </w:rPr>
              <w:t xml:space="preserve">(JSA), </w:t>
            </w:r>
            <w:r>
              <w:rPr>
                <w:i/>
                <w:sz w:val="22"/>
                <w:szCs w:val="22"/>
              </w:rPr>
              <w:t xml:space="preserve">hazard and operability study </w:t>
            </w:r>
            <w:r>
              <w:rPr>
                <w:sz w:val="22"/>
                <w:szCs w:val="22"/>
              </w:rPr>
              <w:t xml:space="preserve">(HAZOPS), </w:t>
            </w:r>
            <w:r>
              <w:rPr>
                <w:i/>
                <w:sz w:val="22"/>
                <w:szCs w:val="22"/>
              </w:rPr>
              <w:t xml:space="preserve">hazard identification risk assessment control </w:t>
            </w:r>
            <w:r>
              <w:rPr>
                <w:sz w:val="22"/>
                <w:szCs w:val="22"/>
              </w:rPr>
              <w:t xml:space="preserve">(HIRAC), dan </w:t>
            </w:r>
            <w:r w:rsidRPr="0009192A">
              <w:rPr>
                <w:i/>
                <w:sz w:val="22"/>
                <w:szCs w:val="22"/>
              </w:rPr>
              <w:t>material safety data sheet</w:t>
            </w:r>
            <w:r>
              <w:rPr>
                <w:i/>
                <w:sz w:val="22"/>
                <w:szCs w:val="22"/>
              </w:rPr>
              <w:t xml:space="preserve"> </w:t>
            </w:r>
            <w:r>
              <w:rPr>
                <w:sz w:val="22"/>
                <w:szCs w:val="22"/>
              </w:rPr>
              <w:t>(MSDS). Hasil analisis risiko berupa laporan format alert atau format PMK 66 2016.</w:t>
            </w:r>
          </w:p>
        </w:tc>
        <w:tc>
          <w:tcPr>
            <w:tcW w:w="1669" w:type="dxa"/>
          </w:tcPr>
          <w:p w:rsidR="00A2072D" w:rsidRPr="00715186" w:rsidRDefault="00A2072D" w:rsidP="00BA7DB0">
            <w:pPr>
              <w:jc w:val="left"/>
              <w:rPr>
                <w:sz w:val="22"/>
                <w:szCs w:val="22"/>
                <w:lang w:val="id-ID"/>
              </w:rPr>
            </w:pPr>
            <w:r>
              <w:rPr>
                <w:sz w:val="22"/>
                <w:szCs w:val="22"/>
                <w:lang w:val="id-ID"/>
              </w:rPr>
              <w:t>SMK3, intensi, persepsi terhadap risiko</w:t>
            </w:r>
          </w:p>
        </w:tc>
      </w:tr>
      <w:tr w:rsidR="00A2072D" w:rsidTr="00BA7DB0">
        <w:tc>
          <w:tcPr>
            <w:tcW w:w="559" w:type="dxa"/>
          </w:tcPr>
          <w:p w:rsidR="00A2072D" w:rsidRDefault="00A2072D" w:rsidP="00BA7DB0">
            <w:pPr>
              <w:jc w:val="center"/>
              <w:rPr>
                <w:sz w:val="22"/>
                <w:szCs w:val="22"/>
              </w:rPr>
            </w:pPr>
            <w:r>
              <w:rPr>
                <w:sz w:val="22"/>
                <w:szCs w:val="22"/>
              </w:rPr>
              <w:t>5</w:t>
            </w:r>
          </w:p>
        </w:tc>
        <w:tc>
          <w:tcPr>
            <w:tcW w:w="1812" w:type="dxa"/>
          </w:tcPr>
          <w:p w:rsidR="00A2072D" w:rsidRDefault="00A2072D" w:rsidP="00BA7DB0">
            <w:pPr>
              <w:jc w:val="center"/>
              <w:rPr>
                <w:sz w:val="22"/>
                <w:szCs w:val="22"/>
              </w:rPr>
            </w:pPr>
            <w:r w:rsidRPr="00E066D7">
              <w:rPr>
                <w:sz w:val="22"/>
                <w:szCs w:val="22"/>
                <w:lang w:val="id-ID" w:eastAsia="id-ID"/>
              </w:rPr>
              <w:drawing>
                <wp:inline distT="0" distB="0" distL="0" distR="0" wp14:anchorId="15DB4D71" wp14:editId="1936A2B9">
                  <wp:extent cx="994842" cy="507081"/>
                  <wp:effectExtent l="0" t="0" r="0" b="7620"/>
                  <wp:docPr id="8" name="Picture 8" descr="I:\gambar ZEROSICKS\potong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gambar ZEROSICKS\potong baru.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2105" t="68858" r="12299" b="5262"/>
                          <a:stretch/>
                        </pic:blipFill>
                        <pic:spPr bwMode="auto">
                          <a:xfrm>
                            <a:off x="0" y="0"/>
                            <a:ext cx="1018641" cy="5192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54" w:type="dxa"/>
          </w:tcPr>
          <w:p w:rsidR="00A2072D" w:rsidRPr="00A62A25" w:rsidRDefault="00A2072D" w:rsidP="00BA7DB0">
            <w:pPr>
              <w:jc w:val="left"/>
              <w:rPr>
                <w:sz w:val="22"/>
                <w:szCs w:val="22"/>
              </w:rPr>
            </w:pPr>
            <w:r>
              <w:rPr>
                <w:sz w:val="22"/>
                <w:szCs w:val="22"/>
              </w:rPr>
              <w:t xml:space="preserve">Umpan balik hasil analisis </w:t>
            </w:r>
            <w:r w:rsidRPr="00A62A25">
              <w:rPr>
                <w:i/>
                <w:sz w:val="22"/>
                <w:szCs w:val="22"/>
              </w:rPr>
              <w:t>risk observation</w:t>
            </w:r>
            <w:r>
              <w:rPr>
                <w:i/>
                <w:sz w:val="22"/>
                <w:szCs w:val="22"/>
              </w:rPr>
              <w:t xml:space="preserve"> </w:t>
            </w:r>
            <w:r>
              <w:rPr>
                <w:sz w:val="22"/>
                <w:szCs w:val="22"/>
              </w:rPr>
              <w:t>untuk pertimbangan pengambilan keputusan</w:t>
            </w:r>
            <w:r w:rsidRPr="00A62A25">
              <w:rPr>
                <w:i/>
                <w:sz w:val="22"/>
                <w:szCs w:val="22"/>
              </w:rPr>
              <w:t xml:space="preserve"> </w:t>
            </w:r>
          </w:p>
        </w:tc>
        <w:tc>
          <w:tcPr>
            <w:tcW w:w="2622" w:type="dxa"/>
          </w:tcPr>
          <w:p w:rsidR="00A2072D" w:rsidRDefault="00A2072D" w:rsidP="00BA7DB0">
            <w:pPr>
              <w:jc w:val="left"/>
              <w:rPr>
                <w:sz w:val="22"/>
                <w:szCs w:val="22"/>
              </w:rPr>
            </w:pPr>
            <w:r>
              <w:rPr>
                <w:sz w:val="22"/>
                <w:szCs w:val="22"/>
              </w:rPr>
              <w:t>data hasil analisis risiko diolah menjadi informasi pendukung pengambilan keputusan dalam merancang proses kegiatan pencegahan CTS.</w:t>
            </w:r>
          </w:p>
        </w:tc>
        <w:tc>
          <w:tcPr>
            <w:tcW w:w="1669" w:type="dxa"/>
          </w:tcPr>
          <w:p w:rsidR="00A2072D" w:rsidRPr="00715186" w:rsidRDefault="00A2072D" w:rsidP="00BA7DB0">
            <w:pPr>
              <w:jc w:val="left"/>
              <w:rPr>
                <w:sz w:val="22"/>
                <w:szCs w:val="22"/>
                <w:lang w:val="id-ID"/>
              </w:rPr>
            </w:pPr>
            <w:r>
              <w:rPr>
                <w:sz w:val="22"/>
                <w:szCs w:val="22"/>
                <w:lang w:val="id-ID"/>
              </w:rPr>
              <w:t>Sikap, Norma subjektif</w:t>
            </w:r>
          </w:p>
        </w:tc>
      </w:tr>
      <w:tr w:rsidR="00A2072D" w:rsidTr="00BA7DB0">
        <w:tc>
          <w:tcPr>
            <w:tcW w:w="559" w:type="dxa"/>
          </w:tcPr>
          <w:p w:rsidR="00A2072D" w:rsidRDefault="00A2072D" w:rsidP="00BA7DB0">
            <w:pPr>
              <w:jc w:val="center"/>
              <w:rPr>
                <w:sz w:val="22"/>
                <w:szCs w:val="22"/>
              </w:rPr>
            </w:pPr>
            <w:r>
              <w:rPr>
                <w:sz w:val="22"/>
                <w:szCs w:val="22"/>
              </w:rPr>
              <w:lastRenderedPageBreak/>
              <w:t>6</w:t>
            </w:r>
          </w:p>
        </w:tc>
        <w:tc>
          <w:tcPr>
            <w:tcW w:w="1812" w:type="dxa"/>
          </w:tcPr>
          <w:p w:rsidR="00A2072D" w:rsidRDefault="00A2072D" w:rsidP="00BA7DB0">
            <w:pPr>
              <w:jc w:val="center"/>
              <w:rPr>
                <w:sz w:val="22"/>
                <w:szCs w:val="22"/>
              </w:rPr>
            </w:pPr>
            <w:r w:rsidRPr="00E066D7">
              <w:rPr>
                <w:sz w:val="22"/>
                <w:szCs w:val="22"/>
                <w:lang w:val="id-ID" w:eastAsia="id-ID"/>
              </w:rPr>
              <w:drawing>
                <wp:anchor distT="0" distB="0" distL="114300" distR="114300" simplePos="0" relativeHeight="251662336" behindDoc="0" locked="0" layoutInCell="1" allowOverlap="1" wp14:anchorId="600D4F4C" wp14:editId="79A80A5F">
                  <wp:simplePos x="0" y="0"/>
                  <wp:positionH relativeFrom="column">
                    <wp:posOffset>239065</wp:posOffset>
                  </wp:positionH>
                  <wp:positionV relativeFrom="paragraph">
                    <wp:posOffset>541324</wp:posOffset>
                  </wp:positionV>
                  <wp:extent cx="519411" cy="1023976"/>
                  <wp:effectExtent l="0" t="0" r="0" b="5080"/>
                  <wp:wrapTopAndBottom/>
                  <wp:docPr id="9" name="Picture 9" descr="I:\gambar ZEROSICKS\potong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gambar ZEROSICKS\potong baru.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708" b="57649"/>
                          <a:stretch/>
                        </pic:blipFill>
                        <pic:spPr bwMode="auto">
                          <a:xfrm>
                            <a:off x="0" y="0"/>
                            <a:ext cx="519411" cy="1023976"/>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354" w:type="dxa"/>
          </w:tcPr>
          <w:p w:rsidR="00A2072D" w:rsidRDefault="00A2072D" w:rsidP="00BA7DB0">
            <w:pPr>
              <w:jc w:val="left"/>
              <w:rPr>
                <w:sz w:val="22"/>
                <w:szCs w:val="22"/>
              </w:rPr>
            </w:pPr>
            <w:r>
              <w:rPr>
                <w:sz w:val="22"/>
                <w:szCs w:val="22"/>
              </w:rPr>
              <w:t xml:space="preserve">Keluaran: </w:t>
            </w:r>
            <w:r w:rsidRPr="00520F28">
              <w:rPr>
                <w:sz w:val="22"/>
                <w:szCs w:val="22"/>
              </w:rPr>
              <w:t>perilaku selamat dan sehat</w:t>
            </w:r>
            <w:r>
              <w:rPr>
                <w:sz w:val="22"/>
                <w:szCs w:val="22"/>
              </w:rPr>
              <w:t>.</w:t>
            </w:r>
            <w:r w:rsidRPr="00520F28">
              <w:rPr>
                <w:sz w:val="22"/>
                <w:szCs w:val="22"/>
              </w:rPr>
              <w:t xml:space="preserve"> performansi K3</w:t>
            </w:r>
            <w:r>
              <w:rPr>
                <w:sz w:val="22"/>
                <w:szCs w:val="22"/>
              </w:rPr>
              <w:t>: pelaksanaan tugas pokok dan kegiatan pendukung.</w:t>
            </w:r>
          </w:p>
          <w:p w:rsidR="00A2072D" w:rsidRDefault="00A2072D" w:rsidP="00BA7DB0">
            <w:pPr>
              <w:jc w:val="left"/>
              <w:rPr>
                <w:sz w:val="22"/>
                <w:szCs w:val="22"/>
              </w:rPr>
            </w:pPr>
            <w:r>
              <w:rPr>
                <w:sz w:val="22"/>
                <w:szCs w:val="22"/>
              </w:rPr>
              <w:t>Produktivitas meningkat.</w:t>
            </w:r>
          </w:p>
        </w:tc>
        <w:tc>
          <w:tcPr>
            <w:tcW w:w="2622" w:type="dxa"/>
          </w:tcPr>
          <w:p w:rsidR="00A2072D" w:rsidRDefault="00A2072D" w:rsidP="00BA7DB0">
            <w:pPr>
              <w:jc w:val="left"/>
              <w:rPr>
                <w:sz w:val="22"/>
                <w:szCs w:val="22"/>
              </w:rPr>
            </w:pPr>
            <w:r>
              <w:rPr>
                <w:sz w:val="22"/>
                <w:szCs w:val="22"/>
              </w:rPr>
              <w:t>Perilaku pelaksanaan tugas pokok dan kegiatan pendukung semakin berkualitas dan berkuantitas, Penerapan SPO pencegahan CTS, penggunaan APD, penyediaan wadah limbah alat tajam dan runcing, pemasangan poster dan tanda peringatan, penyebaran warta K3. Meningkatnya kesadaran dalam pelaporan kejadian atau potensi bahaya. Tempat kerja menjadi aman, sehat dan nyaman. Produktivitas kerja dan pelayanan menjadi meningkat.</w:t>
            </w:r>
          </w:p>
        </w:tc>
        <w:tc>
          <w:tcPr>
            <w:tcW w:w="1669" w:type="dxa"/>
          </w:tcPr>
          <w:p w:rsidR="00A2072D" w:rsidRPr="00715186" w:rsidRDefault="00A2072D" w:rsidP="00BA7DB0">
            <w:pPr>
              <w:jc w:val="left"/>
              <w:rPr>
                <w:sz w:val="22"/>
                <w:szCs w:val="22"/>
                <w:lang w:val="id-ID"/>
              </w:rPr>
            </w:pPr>
            <w:r>
              <w:rPr>
                <w:sz w:val="22"/>
                <w:szCs w:val="22"/>
                <w:lang w:val="id-ID"/>
              </w:rPr>
              <w:t>Tugas pokok, kegiatan pendukung</w:t>
            </w:r>
          </w:p>
        </w:tc>
      </w:tr>
    </w:tbl>
    <w:p w:rsidR="00A70579" w:rsidRDefault="00A70579">
      <w:bookmarkStart w:id="0" w:name="_GoBack"/>
      <w:bookmarkEnd w:id="0"/>
    </w:p>
    <w:sectPr w:rsidR="00A70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2D"/>
    <w:rsid w:val="00A2072D"/>
    <w:rsid w:val="00A705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AF227-DEBA-4A49-8B12-D83725B8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72D"/>
    <w:pPr>
      <w:spacing w:after="0" w:line="240" w:lineRule="auto"/>
      <w:jc w:val="both"/>
    </w:pPr>
    <w:rPr>
      <w:rFonts w:ascii="Arial" w:eastAsia="Times New Roman" w:hAnsi="Arial" w:cs="Times New Roman"/>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072D"/>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2018-05-19T12:41:00Z</dcterms:created>
  <dcterms:modified xsi:type="dcterms:W3CDTF">2018-05-19T12:42:00Z</dcterms:modified>
</cp:coreProperties>
</file>