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6E" w:rsidRDefault="0032406E" w:rsidP="003240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EVALUASI MODEL STRATEGI</w:t>
      </w:r>
    </w:p>
    <w:p w:rsidR="0032406E" w:rsidRDefault="0032406E" w:rsidP="003240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PT. INDOFOOD </w:t>
      </w:r>
    </w:p>
    <w:p w:rsidR="008D6A1D" w:rsidRDefault="008D6A1D" w:rsidP="0032406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SDM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Strategik</w:t>
      </w:r>
      <w:proofErr w:type="spellEnd"/>
    </w:p>
    <w:p w:rsidR="008D6A1D" w:rsidRDefault="008D6A1D" w:rsidP="0032406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Prof.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Setyabudi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Indartono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MM., Ph.D.</w:t>
      </w:r>
    </w:p>
    <w:p w:rsidR="008D6A1D" w:rsidRDefault="008D6A1D" w:rsidP="0032406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D6A1D" w:rsidRPr="008D6A1D" w:rsidRDefault="008D6A1D" w:rsidP="0032406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52AAD0F2" wp14:editId="6FB2A997">
            <wp:extent cx="3052119" cy="3102891"/>
            <wp:effectExtent l="0" t="0" r="0" b="2540"/>
            <wp:docPr id="4" name="Picture 4" descr="Logo UNY Yogyakarta Format CDR, AI, PNG HD | LogoDud | Format CDR, PNG, AI, 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UNY Yogyakarta Format CDR, AI, PNG HD | LogoDud | Format CDR, PNG, AI,  E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43" cy="311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06E" w:rsidRDefault="0032406E" w:rsidP="0032406E">
      <w:pPr>
        <w:spacing w:line="360" w:lineRule="auto"/>
        <w:jc w:val="both"/>
      </w:pPr>
    </w:p>
    <w:p w:rsidR="0032406E" w:rsidRDefault="008D6A1D" w:rsidP="008D6A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D6A1D" w:rsidRDefault="008D6A1D" w:rsidP="008D6A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Angela Stefani </w:t>
      </w:r>
      <w:proofErr w:type="spellStart"/>
      <w:r>
        <w:rPr>
          <w:rFonts w:ascii="Times New Roman" w:hAnsi="Times New Roman" w:cs="Times New Roman"/>
          <w:sz w:val="24"/>
          <w:szCs w:val="24"/>
        </w:rPr>
        <w:t>Nangin</w:t>
      </w:r>
      <w:proofErr w:type="spellEnd"/>
    </w:p>
    <w:p w:rsidR="008D6A1D" w:rsidRDefault="008D6A1D" w:rsidP="008D6A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19808144056</w:t>
      </w:r>
    </w:p>
    <w:p w:rsidR="008D6A1D" w:rsidRDefault="008D6A1D" w:rsidP="008D6A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A1D" w:rsidRDefault="008D6A1D" w:rsidP="008D6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MANAJEMEN</w:t>
      </w:r>
    </w:p>
    <w:p w:rsidR="008D6A1D" w:rsidRDefault="008D6A1D" w:rsidP="008D6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8D6A1D" w:rsidRDefault="008D6A1D" w:rsidP="008D6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NEGERI YOGYAKARTA</w:t>
      </w:r>
    </w:p>
    <w:p w:rsidR="008D6A1D" w:rsidRDefault="008D6A1D" w:rsidP="008D6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32406E" w:rsidRPr="008D6A1D" w:rsidRDefault="0032406E" w:rsidP="008D6A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lastRenderedPageBreak/>
        <w:t>Latar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:rsidR="008D6A1D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>Evaluasi Startegis merupakan suatu hal yang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internal</w:t>
      </w:r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dramatis.</w:t>
      </w:r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A1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A1D">
        <w:rPr>
          <w:rFonts w:ascii="Times New Roman" w:hAnsi="Times New Roman" w:cs="Times New Roman"/>
          <w:sz w:val="24"/>
          <w:szCs w:val="24"/>
        </w:rPr>
        <w:t>s</w:t>
      </w:r>
      <w:r w:rsidRPr="0032406E">
        <w:rPr>
          <w:rFonts w:ascii="Times New Roman" w:hAnsi="Times New Roman" w:cs="Times New Roman"/>
          <w:sz w:val="24"/>
          <w:szCs w:val="24"/>
        </w:rPr>
        <w:t>trategis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</w:t>
      </w:r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meliputi tiga pokok aktivitas berikut: </w:t>
      </w:r>
    </w:p>
    <w:p w:rsidR="008D6A1D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>(1)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yang</w:t>
      </w:r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,</w:t>
      </w:r>
    </w:p>
    <w:p w:rsidR="008D6A1D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>(2)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Pembandingan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D6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6A1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8D6A1D">
        <w:rPr>
          <w:rFonts w:ascii="Times New Roman" w:hAnsi="Times New Roman" w:cs="Times New Roman"/>
          <w:sz w:val="24"/>
          <w:szCs w:val="24"/>
        </w:rPr>
        <w:t>,</w:t>
      </w:r>
    </w:p>
    <w:p w:rsidR="00CC5C42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>(3)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Industri makanan dan minuman merupakan salah satu industri andalan</w:t>
      </w:r>
      <w:r w:rsidR="008D6A1D">
        <w:rPr>
          <w:rFonts w:ascii="Times New Roman" w:hAnsi="Times New Roman" w:cs="Times New Roman"/>
          <w:sz w:val="24"/>
          <w:szCs w:val="24"/>
        </w:rPr>
        <w:t> pengolahan non migas.    In</w:t>
      </w:r>
      <w:r w:rsidRPr="0032406E">
        <w:rPr>
          <w:rFonts w:ascii="Times New Roman" w:hAnsi="Times New Roman" w:cs="Times New Roman"/>
          <w:sz w:val="24"/>
          <w:szCs w:val="24"/>
        </w:rPr>
        <w:t>dustri ini </w:t>
      </w:r>
      <w:proofErr w:type="gramStart"/>
      <w:r w:rsidRPr="0032406E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yang</w:t>
      </w:r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meningkat dari tahun ke tahun. Hal ini didukung oleh kuatnya permintaan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yang </w:t>
      </w:r>
      <w:r w:rsidR="008D6A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D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diperkirakan meningkat pada kuartal kedua tahun 2013 ini.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Pertumbuhannya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diprediksi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6%,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dibanding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kuartal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pertama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> yang 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hanyaberkisar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proofErr w:type="gram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,75</w:t>
      </w:r>
      <w:proofErr w:type="gramEnd"/>
      <w:r w:rsidRPr="0032406E">
        <w:rPr>
          <w:rFonts w:ascii="Times New Roman" w:hAnsi="Times New Roman" w:cs="Times New Roman"/>
          <w:b/>
          <w:bCs/>
          <w:sz w:val="24"/>
          <w:szCs w:val="24"/>
        </w:rPr>
        <w:t>%. 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Pertumbuhan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> di 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kuartal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> I 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sempat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mengalami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="00CC5C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karena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banyaknya regulasi terkait pengadaan bahan 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Indonesia akan memasuki proses integrasi ASEAN economy </w:t>
      </w:r>
      <w:proofErr w:type="gramStart"/>
      <w:r w:rsidRPr="0032406E">
        <w:rPr>
          <w:rFonts w:ascii="Times New Roman" w:hAnsi="Times New Roman" w:cs="Times New Roman"/>
          <w:sz w:val="24"/>
          <w:szCs w:val="24"/>
        </w:rPr>
        <w:t>community(</w:t>
      </w:r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AEC)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2015, di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dipercepat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perintisan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>Perus</w:t>
      </w:r>
      <w:r w:rsidR="00CC5C42">
        <w:rPr>
          <w:rFonts w:ascii="Times New Roman" w:hAnsi="Times New Roman" w:cs="Times New Roman"/>
          <w:sz w:val="24"/>
          <w:szCs w:val="24"/>
        </w:rPr>
        <w:t xml:space="preserve">ahaan yang </w:t>
      </w:r>
      <w:proofErr w:type="spellStart"/>
      <w:r w:rsidR="00CC5C42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di industry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06E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32406E">
        <w:rPr>
          <w:rFonts w:ascii="Times New Roman" w:hAnsi="Times New Roman" w:cs="Times New Roman"/>
          <w:sz w:val="24"/>
          <w:szCs w:val="24"/>
        </w:rPr>
        <w:t> secara aktif terlibat dalam intergrasi ini,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Indofood yang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</w:t>
      </w:r>
      <w:r w:rsidR="00CC5C42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C4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C42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C4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menjadi hal yang menarik untuk dibahas, bagaimana Indofood dengan pertumbuhan industry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starteginya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 xml:space="preserve">di Indonesia.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 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di 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Indofood.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lastRenderedPageBreak/>
        <w:t>Profil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CC5C42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 xml:space="preserve"> PT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total food solutions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CC5C42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</w:p>
    <w:p w:rsidR="00CC5C42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kompetensikaryawan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kami</w:t>
      </w:r>
    </w:p>
    <w:p w:rsidR="00CC5C42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</w:p>
    <w:p w:rsidR="0032406E" w:rsidRPr="0032406E" w:rsidRDefault="00CC5C42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stakeholders’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values</w:t>
      </w:r>
      <w:r w:rsidR="0032406E" w:rsidRPr="003240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Value: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Kesatuan</w:t>
      </w:r>
      <w:proofErr w:type="gramStart"/>
      <w:r w:rsidR="0032406E" w:rsidRPr="0032406E">
        <w:rPr>
          <w:rFonts w:ascii="Times New Roman" w:hAnsi="Times New Roman" w:cs="Times New Roman"/>
          <w:sz w:val="24"/>
          <w:szCs w:val="24"/>
        </w:rPr>
        <w:t>,Keunggulan</w:t>
      </w:r>
      <w:proofErr w:type="spellEnd"/>
      <w:proofErr w:type="gram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>.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 xml:space="preserve">Perusahaan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1990 di Jakarta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Panganjaya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Intikusuma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1994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Makmur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IndofoodSaat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75.000 orang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Bermerek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Bogasari</w:t>
      </w:r>
      <w:proofErr w:type="gramStart"/>
      <w:r w:rsidRPr="0032406E">
        <w:rPr>
          <w:rFonts w:ascii="Times New Roman" w:hAnsi="Times New Roman" w:cs="Times New Roman"/>
          <w:sz w:val="24"/>
          <w:szCs w:val="24"/>
        </w:rPr>
        <w:t>,Agribisnis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324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a.Perbandi</w:t>
      </w:r>
      <w:r w:rsidR="00CC5C42">
        <w:rPr>
          <w:rFonts w:ascii="Times New Roman" w:hAnsi="Times New Roman" w:cs="Times New Roman"/>
          <w:sz w:val="24"/>
          <w:szCs w:val="24"/>
        </w:rPr>
        <w:t>ngan</w:t>
      </w:r>
      <w:proofErr w:type="spellEnd"/>
      <w:proofErr w:type="gramEnd"/>
      <w:r w:rsidR="00CC5C42">
        <w:rPr>
          <w:rFonts w:ascii="Times New Roman" w:hAnsi="Times New Roman" w:cs="Times New Roman"/>
          <w:sz w:val="24"/>
          <w:szCs w:val="24"/>
        </w:rPr>
        <w:t xml:space="preserve"> d</w:t>
      </w:r>
      <w:r w:rsidRPr="0032406E">
        <w:rPr>
          <w:rFonts w:ascii="Times New Roman" w:hAnsi="Times New Roman" w:cs="Times New Roman"/>
          <w:sz w:val="24"/>
          <w:szCs w:val="24"/>
        </w:rPr>
        <w:t>at</w:t>
      </w:r>
      <w:r w:rsidR="00CC5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C5C42">
        <w:rPr>
          <w:rFonts w:ascii="Times New Roman" w:hAnsi="Times New Roman" w:cs="Times New Roman"/>
          <w:sz w:val="24"/>
          <w:szCs w:val="24"/>
        </w:rPr>
        <w:t>h</w:t>
      </w:r>
      <w:r w:rsidRPr="0032406E">
        <w:rPr>
          <w:rFonts w:ascii="Times New Roman" w:hAnsi="Times New Roman" w:cs="Times New Roman"/>
          <w:sz w:val="24"/>
          <w:szCs w:val="24"/>
        </w:rPr>
        <w:t>istoris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C42">
        <w:rPr>
          <w:rFonts w:ascii="Times New Roman" w:hAnsi="Times New Roman" w:cs="Times New Roman"/>
          <w:sz w:val="24"/>
          <w:szCs w:val="24"/>
        </w:rPr>
        <w:t>b</w:t>
      </w:r>
      <w:r w:rsidRPr="0032406E">
        <w:rPr>
          <w:rFonts w:ascii="Times New Roman" w:hAnsi="Times New Roman" w:cs="Times New Roman"/>
          <w:sz w:val="24"/>
          <w:szCs w:val="24"/>
        </w:rPr>
        <w:t>erikut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71645" cy="2961640"/>
            <wp:effectExtent l="0" t="0" r="0" b="0"/>
            <wp:docPr id="2" name="Picture 2" descr="https://reader017.dokumen.tips/reader017/html5/js20200117/5e21d26f8b4d1/5e21d271282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ader017.dokumen.tips/reader017/html5/js20200117/5e21d26f8b4d1/5e21d271282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lastRenderedPageBreak/>
        <w:t>Dilihat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Indofood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7.300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 xml:space="preserve">(2012)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25%,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2012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27%.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2011 Indofood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 Indofood.</w:t>
      </w:r>
    </w:p>
    <w:p w:rsidR="0032406E" w:rsidRPr="0032406E" w:rsidRDefault="00CC5C42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BSC</w:t>
      </w:r>
    </w:p>
    <w:p w:rsidR="00C21C0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0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406E">
        <w:rPr>
          <w:rFonts w:ascii="Times New Roman" w:hAnsi="Times New Roman" w:cs="Times New Roman"/>
          <w:sz w:val="24"/>
          <w:szCs w:val="24"/>
        </w:rPr>
        <w:t>.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Analisa1.Liquidity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RatioAdalah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memenuhikewajiban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2012 current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ratio,quick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ratio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cash ratio PT.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PT.Indofood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C21C0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>2.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Activity Ratio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C42">
        <w:rPr>
          <w:rFonts w:ascii="Times New Roman" w:hAnsi="Times New Roman" w:cs="Times New Roman"/>
          <w:sz w:val="24"/>
          <w:szCs w:val="24"/>
        </w:rPr>
        <w:t>a</w:t>
      </w:r>
      <w:r w:rsidRPr="0032406E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Total asset turnover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fixedasset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turnover PT.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PT.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account receivable turnover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account receivable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 xml:space="preserve">days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outsanding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2012,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PT.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kuranf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,</w:t>
      </w:r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inventory turnover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CC5C42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inventory days outstanding.</w:t>
      </w:r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3.Leverage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Ratio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32406E" w:rsidRPr="0032406E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utang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pembelanjaan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2406E" w:rsidRPr="0032406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proofErr w:type="gram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utang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PT. Indofood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6E" w:rsidRPr="0032406E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="0032406E" w:rsidRPr="0032406E">
        <w:rPr>
          <w:rFonts w:ascii="Times New Roman" w:hAnsi="Times New Roman" w:cs="Times New Roman"/>
          <w:sz w:val="24"/>
          <w:szCs w:val="24"/>
        </w:rPr>
        <w:t>.</w:t>
      </w:r>
    </w:p>
    <w:p w:rsidR="00C21C0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t>4.Profitability Ratio</w:t>
      </w:r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a</w:t>
      </w:r>
      <w:r w:rsidRPr="0032406E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perusahaan.kemampuan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PT.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dikatakanstabil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mekipun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lastRenderedPageBreak/>
        <w:t>b.Perspektif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</w:t>
      </w:r>
      <w:r w:rsidR="00C21C0E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mengidentifikasikan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retensi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</w:t>
      </w:r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06E">
        <w:rPr>
          <w:rFonts w:ascii="Times New Roman" w:hAnsi="Times New Roman" w:cs="Times New Roman"/>
          <w:sz w:val="24"/>
          <w:szCs w:val="24"/>
        </w:rPr>
        <w:t>1.Pengukuran</w:t>
      </w:r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customer,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unit volume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market share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</w:t>
      </w:r>
      <w:r w:rsidRPr="0032406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market share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uku</w:t>
      </w:r>
      <w:r w:rsidRPr="0032406E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>market sha</w:t>
      </w:r>
      <w:r w:rsidRPr="0032406E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</w:t>
      </w:r>
      <w:r w:rsidRPr="0032406E">
        <w:rPr>
          <w:rFonts w:ascii="Times New Roman" w:hAnsi="Times New Roman" w:cs="Times New Roman"/>
          <w:sz w:val="24"/>
          <w:szCs w:val="24"/>
        </w:rPr>
        <w:t>erlalu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macroenvironmental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6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35875" cy="2794627"/>
            <wp:effectExtent l="0" t="0" r="0" b="6350"/>
            <wp:docPr id="3" name="Picture 3" descr="https://reader017.dokumen.tips/reader017/html5/js20200117/5e21d26f8b4d1/5e21d27589a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ader017.dokumen.tips/reader017/html5/js20200117/5e21d26f8b4d1/5e21d27589a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875" cy="279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pie cha</w:t>
      </w:r>
      <w:r w:rsidR="00C21C0E">
        <w:rPr>
          <w:rFonts w:ascii="Times New Roman" w:hAnsi="Times New Roman" w:cs="Times New Roman"/>
          <w:sz w:val="24"/>
          <w:szCs w:val="24"/>
        </w:rPr>
        <w:t xml:space="preserve">rt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market share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PTIndofood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Makmur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6</w:t>
      </w:r>
      <w:r w:rsidR="00C21C0E">
        <w:rPr>
          <w:rFonts w:ascii="Times New Roman" w:hAnsi="Times New Roman" w:cs="Times New Roman"/>
          <w:sz w:val="24"/>
          <w:szCs w:val="24"/>
        </w:rPr>
        <w:t xml:space="preserve">6%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kompetitor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</w:t>
      </w:r>
      <w:r w:rsidR="00C21C0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Mayora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C0E">
        <w:rPr>
          <w:rFonts w:ascii="Times New Roman" w:hAnsi="Times New Roman" w:cs="Times New Roman"/>
          <w:sz w:val="24"/>
          <w:szCs w:val="24"/>
        </w:rPr>
        <w:t>market  share</w:t>
      </w:r>
      <w:proofErr w:type="gram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14%.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PT Indofood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market leader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minuman.PT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Makmur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terigu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58% di 2010. Volume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terigu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2010sebesar</w:t>
      </w:r>
      <w:r w:rsidR="00C21C0E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="00C21C0E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C0E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ton.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Indofood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SuksesMakmur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menjadiperusahaan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diuntungkan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Indonesia</w:t>
      </w:r>
      <w:proofErr w:type="gramStart"/>
      <w:r w:rsidRPr="0032406E">
        <w:rPr>
          <w:rFonts w:ascii="Times New Roman" w:hAnsi="Times New Roman" w:cs="Times New Roman"/>
          <w:sz w:val="24"/>
          <w:szCs w:val="24"/>
        </w:rPr>
        <w:t>,menurut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IFT. Hal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Indofood CBP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sebagaipemain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instannasional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Retention</w:t>
      </w:r>
      <w:proofErr w:type="spellEnd"/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mempertahankandan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segmentersebut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retensi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denganmengetahui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jumlahcustomer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Acquisition</w:t>
      </w:r>
      <w:proofErr w:type="spellEnd"/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.</w:t>
      </w:r>
    </w:p>
    <w:p w:rsidR="0032406E" w:rsidRPr="0032406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32406E" w:rsidRPr="0032406E">
        <w:rPr>
          <w:rFonts w:ascii="Times New Roman" w:hAnsi="Times New Roman" w:cs="Times New Roman"/>
          <w:sz w:val="24"/>
          <w:szCs w:val="24"/>
        </w:rPr>
        <w:t>Customer Satisfaction</w:t>
      </w:r>
    </w:p>
    <w:p w:rsidR="0032406E" w:rsidRPr="0032406E" w:rsidRDefault="0032406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06E">
        <w:rPr>
          <w:rFonts w:ascii="Times New Roman" w:hAnsi="Times New Roman" w:cs="Times New Roman"/>
          <w:sz w:val="24"/>
          <w:szCs w:val="24"/>
        </w:rPr>
        <w:t>Retensi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06E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3240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), interview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>, personal</w:t>
      </w:r>
      <w:r w:rsidR="00C21C0E">
        <w:rPr>
          <w:rFonts w:ascii="Times New Roman" w:hAnsi="Times New Roman" w:cs="Times New Roman"/>
          <w:sz w:val="24"/>
          <w:szCs w:val="24"/>
        </w:rPr>
        <w:t xml:space="preserve"> </w:t>
      </w:r>
      <w:r w:rsidRPr="0032406E">
        <w:rPr>
          <w:rFonts w:ascii="Times New Roman" w:hAnsi="Times New Roman" w:cs="Times New Roman"/>
          <w:sz w:val="24"/>
          <w:szCs w:val="24"/>
        </w:rPr>
        <w:t xml:space="preserve">interview.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6E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32406E">
        <w:rPr>
          <w:rFonts w:ascii="Times New Roman" w:hAnsi="Times New Roman" w:cs="Times New Roman"/>
          <w:sz w:val="24"/>
          <w:szCs w:val="24"/>
        </w:rPr>
        <w:t xml:space="preserve"> ICSA (Indonesia Customer Satisfaction Award).</w:t>
      </w:r>
    </w:p>
    <w:p w:rsidR="002031D9" w:rsidRDefault="002031D9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REFERENSI</w:t>
      </w:r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35C56">
          <w:rPr>
            <w:rStyle w:val="Hyperlink"/>
            <w:rFonts w:ascii="Times New Roman" w:hAnsi="Times New Roman" w:cs="Times New Roman"/>
            <w:sz w:val="24"/>
            <w:szCs w:val="24"/>
          </w:rPr>
          <w:t>https://dokumen.tips/documents/evaluasi-strategis-pt-indofooddoc-balanced-scorecard.html</w:t>
        </w:r>
      </w:hyperlink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35C56">
          <w:rPr>
            <w:rStyle w:val="Hyperlink"/>
            <w:rFonts w:ascii="Times New Roman" w:hAnsi="Times New Roman" w:cs="Times New Roman"/>
            <w:sz w:val="24"/>
            <w:szCs w:val="24"/>
          </w:rPr>
          <w:t>https://www.scribd.com/document/361212527/Evaluasi-Strategis-PT-Indofood-doc-Balanced-Scorecard-DocShare-tips</w:t>
        </w:r>
      </w:hyperlink>
    </w:p>
    <w:p w:rsidR="00C21C0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1C0E" w:rsidRPr="0032406E" w:rsidRDefault="00C21C0E" w:rsidP="00324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1C0E" w:rsidRPr="00324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E"/>
    <w:rsid w:val="002031D9"/>
    <w:rsid w:val="0032406E"/>
    <w:rsid w:val="00860362"/>
    <w:rsid w:val="008D6A1D"/>
    <w:rsid w:val="00C21C0E"/>
    <w:rsid w:val="00C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A4C86-8007-47E8-8DB9-064251D8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0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731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2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2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5531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document/361212527/Evaluasi-Strategis-PT-Indofood-doc-Balanced-Scorecard-DocShare-ti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kumen.tips/documents/evaluasi-strategis-pt-indofooddoc-balanced-scorecar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2021-06-11T15:16:00Z</dcterms:created>
  <dcterms:modified xsi:type="dcterms:W3CDTF">2021-06-11T16:01:00Z</dcterms:modified>
</cp:coreProperties>
</file>